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4B1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42704AAE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860B2C">
        <w:rPr>
          <w:rFonts w:eastAsia="Arial Unicode MS" w:cs="Arial Unicode MS"/>
          <w:u w:color="4F81BD"/>
          <w:lang w:val="en-AU"/>
        </w:rPr>
        <w:t>-</w:t>
      </w:r>
      <w:r w:rsidR="005427D9">
        <w:rPr>
          <w:rFonts w:eastAsia="Arial Unicode MS" w:cs="Arial Unicode MS"/>
          <w:u w:color="4F81BD"/>
          <w:lang w:val="en-AU"/>
        </w:rPr>
        <w:t>31</w:t>
      </w:r>
      <w:r w:rsidR="000546F4">
        <w:rPr>
          <w:rFonts w:eastAsia="Arial Unicode MS" w:cs="Arial Unicode MS"/>
          <w:u w:color="4F81BD"/>
          <w:lang w:val="en-AU"/>
        </w:rPr>
        <w:t>5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Scope of Application: Ok </w:t>
      </w:r>
      <w:proofErr w:type="spellStart"/>
      <w:r w:rsidRPr="00805B8E">
        <w:rPr>
          <w:rFonts w:eastAsia="Arial Unicode MS" w:cs="Arial Unicode MS"/>
          <w:lang w:val="en-AU"/>
        </w:rPr>
        <w:t>Tedi</w:t>
      </w:r>
      <w:proofErr w:type="spellEnd"/>
      <w:r w:rsidRPr="00805B8E">
        <w:rPr>
          <w:rFonts w:eastAsia="Arial Unicode MS" w:cs="Arial Unicode MS"/>
          <w:lang w:val="en-AU"/>
        </w:rPr>
        <w:t xml:space="preserve">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69357A88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bookmarkStart w:id="0" w:name="_GoBack"/>
      <w:r w:rsidR="00513EB1" w:rsidRPr="00513EB1">
        <w:rPr>
          <w:rFonts w:eastAsia="Arial Unicode MS" w:cs="Arial Unicode MS"/>
          <w:iCs/>
          <w:color w:val="000000" w:themeColor="text1"/>
          <w:u w:color="4F81BD"/>
          <w:lang w:val="en-AU"/>
        </w:rPr>
        <w:t>March 2019</w:t>
      </w:r>
      <w:bookmarkEnd w:id="0"/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0401B3CD" w14:textId="6341A3B3" w:rsidR="00D50914" w:rsidRPr="00805B8E" w:rsidRDefault="00D46567">
      <w:pPr>
        <w:pStyle w:val="Body"/>
        <w:rPr>
          <w:sz w:val="24"/>
          <w:szCs w:val="24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Why is the Control Important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–</w:t>
      </w:r>
      <w:r w:rsidRPr="00805B8E">
        <w:rPr>
          <w:rFonts w:eastAsia="Arial Unicode MS" w:cs="Arial Unicode MS"/>
          <w:lang w:val="en-AU"/>
        </w:rPr>
        <w:t xml:space="preserve"> </w:t>
      </w:r>
      <w:r w:rsidR="006C7C9C" w:rsidRPr="006C7C9C">
        <w:t>Scaffolds that are constructed to a standard by competent people, and inspected for condition regularly and before use, are critical in preventing falls from scaffolds due to failure or po</w:t>
      </w:r>
      <w:r w:rsidR="006C7C9C">
        <w:t>or construction of the scaffold</w:t>
      </w:r>
      <w:r w:rsidR="00AD2FB5" w:rsidRPr="00AD2FB5">
        <w:t xml:space="preserve">. </w:t>
      </w:r>
    </w:p>
    <w:p w14:paraId="505B7A5E" w14:textId="77777777" w:rsidR="00D50914" w:rsidRPr="00805B8E" w:rsidRDefault="00D50914">
      <w:pPr>
        <w:pStyle w:val="Body"/>
        <w:rPr>
          <w:lang w:val="en-AU"/>
        </w:rPr>
      </w:pPr>
    </w:p>
    <w:p w14:paraId="3650359E" w14:textId="2058468A" w:rsidR="00D50914" w:rsidRPr="00AD2FB5" w:rsidRDefault="00D46567" w:rsidP="000918EF">
      <w:pPr>
        <w:pStyle w:val="Body"/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Exemption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–</w:t>
      </w:r>
      <w:r w:rsidR="006C7F8D">
        <w:rPr>
          <w:rFonts w:eastAsia="Arial Unicode MS" w:cs="Arial Unicode MS"/>
          <w:sz w:val="28"/>
          <w:szCs w:val="28"/>
          <w:lang w:val="en-AU"/>
        </w:rPr>
        <w:t xml:space="preserve"> </w:t>
      </w:r>
      <w:r w:rsidR="001E5412">
        <w:t>Nil</w:t>
      </w:r>
      <w:r w:rsidR="00AD2FB5" w:rsidRPr="00AD2FB5">
        <w:t>.</w:t>
      </w:r>
    </w:p>
    <w:p w14:paraId="3E25B3B5" w14:textId="77777777" w:rsidR="00D50914" w:rsidRPr="00805B8E" w:rsidRDefault="00D46567">
      <w:pPr>
        <w:pStyle w:val="Body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3614B4" w:rsidRPr="00805B8E" w14:paraId="3E658530" w14:textId="77777777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3B" w14:textId="2E39697A" w:rsidR="003614B4" w:rsidRPr="00805B8E" w:rsidRDefault="003E4C6C" w:rsidP="00AD2FB5">
            <w:pPr>
              <w:pStyle w:val="Body"/>
              <w:spacing w:before="60" w:after="60"/>
              <w:rPr>
                <w:lang w:val="en-AU"/>
              </w:rPr>
            </w:pPr>
            <w:r w:rsidRPr="003E4C6C">
              <w:rPr>
                <w:rFonts w:eastAsia="ヒラギノ角ゴ Pro W3"/>
              </w:rPr>
              <w:t>Scaffolds are constructed, from approved materials, in accordance with recognised standards, including requirements for platforms, guard rails and access stairs / ladders.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065" w14:textId="1B118673" w:rsidR="003614B4" w:rsidRPr="00805B8E" w:rsidRDefault="00B02A24" w:rsidP="000918EF">
            <w:pPr>
              <w:pStyle w:val="Body"/>
              <w:spacing w:before="60" w:after="60"/>
              <w:rPr>
                <w:lang w:val="en-AU"/>
              </w:rPr>
            </w:pPr>
            <w:r w:rsidRPr="00B02A24">
              <w:rPr>
                <w:lang w:val="en-AU"/>
              </w:rPr>
              <w:t>Scaffolds are constructed or altered by competent persons, who are licensed or certified as required by local regulations.</w:t>
            </w:r>
          </w:p>
        </w:tc>
      </w:tr>
      <w:tr w:rsidR="008E7543" w:rsidRPr="00805B8E" w14:paraId="2AF4C8C1" w14:textId="77777777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FEBD" w14:textId="14E5E887" w:rsidR="008E7543" w:rsidRPr="00A0501D" w:rsidRDefault="00B02A24" w:rsidP="008E7543">
            <w:pPr>
              <w:pStyle w:val="Body"/>
              <w:spacing w:before="60" w:after="60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Unauthorised access to incomplete, unattended scaffolds is prevented (e.g. using barricades, signs etc.).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987C" w14:textId="387147AA" w:rsidR="008E7543" w:rsidRPr="00805B8E" w:rsidRDefault="00B02A24" w:rsidP="00AD2FB5">
            <w:pPr>
              <w:pStyle w:val="Body"/>
              <w:spacing w:before="60" w:after="60"/>
              <w:rPr>
                <w:lang w:val="en-AU"/>
              </w:rPr>
            </w:pPr>
            <w:r w:rsidRPr="00B02A24">
              <w:rPr>
                <w:lang w:val="en-AU"/>
              </w:rPr>
              <w:t>Scaffolds that are in place for an extended period are inspected for condition by a competent person at least monthly, and after any incident or event that could affect its stability.</w:t>
            </w:r>
          </w:p>
        </w:tc>
      </w:tr>
      <w:tr w:rsidR="008E7543" w:rsidRPr="00805B8E" w14:paraId="38E2223D" w14:textId="77777777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DB93" w14:textId="3AFC49AD" w:rsidR="008E7543" w:rsidRPr="00A0501D" w:rsidRDefault="00B02A24" w:rsidP="00AD2FB5">
            <w:pPr>
              <w:pStyle w:val="Body"/>
              <w:spacing w:before="60" w:after="60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Scaffolds are inspected for condition before each use, including a check of the approval-for-use status of the scaffold.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7602" w14:textId="7BA34670" w:rsidR="008E7543" w:rsidRPr="00805B8E" w:rsidRDefault="008E7543" w:rsidP="00AD2FB5">
            <w:pPr>
              <w:pStyle w:val="Body"/>
              <w:spacing w:before="60" w:after="60"/>
              <w:rPr>
                <w:lang w:val="en-AU"/>
              </w:rPr>
            </w:pPr>
          </w:p>
        </w:tc>
      </w:tr>
    </w:tbl>
    <w:p w14:paraId="7FC6F4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Utilisation</w:t>
      </w:r>
    </w:p>
    <w:p w14:paraId="59C2E09D" w14:textId="5707E19F" w:rsidR="001B28CD" w:rsidRDefault="00B02A24" w:rsidP="00FF51D9">
      <w:pPr>
        <w:pStyle w:val="Body"/>
        <w:tabs>
          <w:tab w:val="left" w:pos="792"/>
        </w:tabs>
        <w:spacing w:before="60"/>
        <w:ind w:left="426"/>
      </w:pPr>
      <w:r w:rsidRPr="00B02A24">
        <w:t>Required in all situati</w:t>
      </w:r>
      <w:r>
        <w:t>ons where scaffolds are used</w:t>
      </w:r>
      <w:r w:rsidR="001B28CD" w:rsidRPr="001B28CD">
        <w:t>.</w:t>
      </w:r>
    </w:p>
    <w:p w14:paraId="2FCDE55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Critical Defeat Requirements</w:t>
      </w:r>
    </w:p>
    <w:p w14:paraId="73F39CEB" w14:textId="4942A1CB" w:rsidR="00A0501D" w:rsidRDefault="00B02A24">
      <w:pPr>
        <w:pStyle w:val="Body"/>
        <w:spacing w:before="60"/>
        <w:ind w:left="425"/>
      </w:pPr>
      <w:r>
        <w:t>No defeat permitted</w:t>
      </w:r>
      <w:r w:rsidR="00FF51D9" w:rsidRPr="00FF51D9">
        <w:t>.</w:t>
      </w:r>
      <w:r w:rsidR="006976BE" w:rsidRPr="006976BE">
        <w:t xml:space="preserve">  </w:t>
      </w:r>
      <w:r w:rsidR="00A0501D" w:rsidRPr="00A0501D">
        <w:t xml:space="preserve">   </w:t>
      </w:r>
    </w:p>
    <w:p w14:paraId="2CEEF94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Testing &amp; Verification</w:t>
      </w:r>
    </w:p>
    <w:p w14:paraId="3323D083" w14:textId="3ABBD37F" w:rsidR="00B02A24" w:rsidRDefault="00B02A24" w:rsidP="00B02A24">
      <w:pPr>
        <w:pStyle w:val="Body"/>
        <w:spacing w:before="60"/>
        <w:ind w:left="425"/>
      </w:pPr>
      <w:r>
        <w:t>Scaffold construction must be audited as part of the annual auditing cycle.</w:t>
      </w:r>
    </w:p>
    <w:p w14:paraId="2BC01308" w14:textId="690BFB1E" w:rsidR="009D7B3B" w:rsidRDefault="00B02A24" w:rsidP="00B02A24">
      <w:pPr>
        <w:pStyle w:val="Body"/>
        <w:spacing w:before="60"/>
        <w:ind w:left="425"/>
      </w:pPr>
      <w:r>
        <w:t>The condition of scaffolds (including approval-for-use status must be checked before each use.</w:t>
      </w:r>
    </w:p>
    <w:p w14:paraId="78674CF1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Maintenance</w:t>
      </w:r>
    </w:p>
    <w:p w14:paraId="2DFFB03D" w14:textId="5E590BB3" w:rsidR="00D50914" w:rsidRPr="00AB296C" w:rsidRDefault="00B02A24" w:rsidP="00AB296C">
      <w:pPr>
        <w:pStyle w:val="Body"/>
        <w:spacing w:before="60"/>
        <w:ind w:left="425"/>
        <w:rPr>
          <w:rFonts w:eastAsia="ヒラギノ角ゴ Pro W3"/>
        </w:rPr>
      </w:pPr>
      <w:r w:rsidRPr="00B02A24">
        <w:rPr>
          <w:rFonts w:eastAsia="ヒラギノ角ゴ Pro W3"/>
        </w:rPr>
        <w:t xml:space="preserve">Scaffolds must be inspected and approved for use by a competent person at least monthly and after any incident that could affect its stability (e.g. severe weather). </w:t>
      </w:r>
      <w:r>
        <w:rPr>
          <w:rFonts w:eastAsia="ヒラギノ角ゴ Pro W3"/>
        </w:rPr>
        <w:t xml:space="preserve"> </w:t>
      </w:r>
      <w:r w:rsidRPr="00B02A24">
        <w:rPr>
          <w:rFonts w:eastAsia="ヒラギノ角ゴ Pro W3"/>
        </w:rPr>
        <w:t xml:space="preserve">Any required repairs are to </w:t>
      </w:r>
      <w:r>
        <w:rPr>
          <w:rFonts w:eastAsia="ヒラギノ角ゴ Pro W3"/>
        </w:rPr>
        <w:t>be completed before re-approval</w:t>
      </w:r>
      <w:r w:rsidR="009D7B3B" w:rsidRPr="009D7B3B">
        <w:rPr>
          <w:rFonts w:eastAsia="ヒラギノ角ゴ Pro W3"/>
        </w:rPr>
        <w:t>.</w:t>
      </w:r>
    </w:p>
    <w:p w14:paraId="4518E33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Training &amp; Competency</w:t>
      </w:r>
    </w:p>
    <w:p w14:paraId="0881DA9F" w14:textId="0431A46B" w:rsidR="00D50914" w:rsidRPr="009D7B3B" w:rsidRDefault="00B02A24" w:rsidP="009D7B3B">
      <w:pPr>
        <w:pStyle w:val="Body"/>
        <w:spacing w:before="60"/>
        <w:ind w:left="425"/>
      </w:pPr>
      <w:r w:rsidRPr="00B02A24">
        <w:t>People involved in building, altering and inspecting scaffolds must be trained and competent in these activities and hold the licences or certification</w:t>
      </w:r>
      <w:r>
        <w:t>s required by local regulations</w:t>
      </w:r>
      <w:r w:rsidR="00FF51D9" w:rsidRPr="009D7B3B">
        <w:t>.</w:t>
      </w:r>
      <w:r w:rsidR="00D46567" w:rsidRPr="009D7B3B"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D50914" w:rsidRPr="00805B8E" w14:paraId="4D985D96" w14:textId="77777777">
        <w:trPr>
          <w:trHeight w:val="2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Operator/Maintainer</w:t>
            </w:r>
          </w:p>
        </w:tc>
      </w:tr>
      <w:tr w:rsidR="003614B4" w:rsidRPr="00805B8E" w14:paraId="53142FC6" w14:textId="77777777" w:rsidTr="00AD2FB5">
        <w:trPr>
          <w:trHeight w:val="9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B1AEE" w14:textId="77777777" w:rsidR="003614B4" w:rsidRPr="00805B8E" w:rsidRDefault="003614B4" w:rsidP="00AD2FB5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51BB1" w14:textId="1E55BFCF" w:rsidR="003614B4" w:rsidRPr="00AD2FB5" w:rsidRDefault="00B02A24" w:rsidP="00A0501D">
            <w:pPr>
              <w:pStyle w:val="Body"/>
              <w:spacing w:before="60" w:after="60"/>
              <w:rPr>
                <w:lang w:val="en-AU"/>
              </w:rPr>
            </w:pPr>
            <w:r w:rsidRPr="00B02A24">
              <w:rPr>
                <w:rFonts w:eastAsia="ヒラギノ角ゴ Pro W3"/>
              </w:rPr>
              <w:t>Verify the scaffold has been constructed by a competent, qualified person who holds the appropriate licence or certification.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191D" w14:textId="7BA6FBA4" w:rsidR="003614B4" w:rsidRPr="00AD2FB5" w:rsidRDefault="00B02A24" w:rsidP="00AD2FB5">
            <w:pPr>
              <w:pStyle w:val="Body"/>
              <w:spacing w:before="60" w:after="60"/>
              <w:rPr>
                <w:lang w:val="en-AU"/>
              </w:rPr>
            </w:pPr>
            <w:r w:rsidRPr="00B02A24">
              <w:rPr>
                <w:rFonts w:eastAsia="ヒラギノ角ゴ Pro W3"/>
              </w:rPr>
              <w:t>Check the condition of the scaffold before accessing it, including its approval-for-use status. Report any faults to the relevant supervisor.</w:t>
            </w:r>
          </w:p>
        </w:tc>
      </w:tr>
      <w:tr w:rsidR="00D13286" w:rsidRPr="00805B8E" w14:paraId="6615754C" w14:textId="77777777" w:rsidTr="00AD2FB5">
        <w:trPr>
          <w:trHeight w:val="9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167E7" w14:textId="6F541A75" w:rsidR="00D13286" w:rsidRPr="00805B8E" w:rsidRDefault="00D13286" w:rsidP="00AD2FB5">
            <w:pPr>
              <w:pStyle w:val="Body"/>
              <w:spacing w:before="60" w:after="60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D918" w14:textId="2594203B" w:rsidR="00D13286" w:rsidRPr="00A0501D" w:rsidRDefault="00B02A24" w:rsidP="00FA6177">
            <w:pPr>
              <w:pStyle w:val="Body"/>
              <w:spacing w:before="60" w:after="60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Verify the scaffold has been inspected by a competent person and has not exceeded its inspection / expiry date.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2ED6" w14:textId="666D0768" w:rsidR="00D13286" w:rsidRPr="00A0501D" w:rsidRDefault="00B02A24" w:rsidP="00AD2FB5">
            <w:pPr>
              <w:pStyle w:val="Body"/>
              <w:spacing w:before="60" w:after="60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Do not access the scaffold if the approval-for-use status is not clearly labelled, or the inspection date has expired.</w:t>
            </w:r>
          </w:p>
        </w:tc>
      </w:tr>
      <w:tr w:rsidR="00D13286" w:rsidRPr="00805B8E" w14:paraId="44E33413" w14:textId="77777777" w:rsidTr="00AD2FB5">
        <w:trPr>
          <w:trHeight w:val="9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EF944" w14:textId="0887FF35" w:rsidR="00D13286" w:rsidRPr="00805B8E" w:rsidRDefault="00D13286" w:rsidP="00AD2FB5">
            <w:pPr>
              <w:pStyle w:val="Body"/>
              <w:spacing w:before="60" w:after="60"/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D823D" w14:textId="559BA0AD" w:rsidR="00D13286" w:rsidRPr="00A0501D" w:rsidRDefault="00B02A24" w:rsidP="00A0501D">
            <w:pPr>
              <w:pStyle w:val="Body"/>
              <w:spacing w:before="60" w:after="60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Verify access to a scaffold that is incomplete has been prevented (e.g. with barricades, signs etc.).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A4483" w14:textId="7FC206AE" w:rsidR="00D13286" w:rsidRPr="00A0501D" w:rsidRDefault="00D13286" w:rsidP="00AD2FB5">
            <w:pPr>
              <w:pStyle w:val="Body"/>
              <w:spacing w:before="60" w:after="60"/>
              <w:rPr>
                <w:rFonts w:eastAsia="ヒラギノ角ゴ Pro W3"/>
              </w:rPr>
            </w:pPr>
          </w:p>
        </w:tc>
      </w:tr>
    </w:tbl>
    <w:p w14:paraId="2536268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Skills Requirements</w:t>
      </w:r>
    </w:p>
    <w:p w14:paraId="2970975B" w14:textId="7793FE70" w:rsidR="00D50914" w:rsidRDefault="00B02A24">
      <w:pPr>
        <w:pStyle w:val="Body"/>
        <w:spacing w:before="60"/>
        <w:ind w:left="426"/>
      </w:pPr>
      <w:r w:rsidRPr="00B02A24">
        <w:t xml:space="preserve">Licence or certification to construct scaffolds, </w:t>
      </w:r>
      <w:r>
        <w:t>as</w:t>
      </w:r>
      <w:r w:rsidRPr="00B02A24">
        <w:t xml:space="preserve"> required by local regulations.</w:t>
      </w:r>
    </w:p>
    <w:p w14:paraId="5F6B4C2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Permits</w:t>
      </w:r>
    </w:p>
    <w:p w14:paraId="32549888" w14:textId="608CB44E" w:rsidR="00D50914" w:rsidRPr="00805B8E" w:rsidRDefault="00B02A24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B02A24">
        <w:t>Work at Heights permit required for erection, dismantling and alteration of scaffold if more than 2 metres above ground level.</w:t>
      </w:r>
    </w:p>
    <w:p w14:paraId="726C6D9F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Task Specific PPE Requirements</w:t>
      </w:r>
    </w:p>
    <w:p w14:paraId="44B67342" w14:textId="088B0662" w:rsidR="00D50914" w:rsidRPr="00805B8E" w:rsidRDefault="00B02A24">
      <w:pPr>
        <w:pStyle w:val="Body"/>
        <w:spacing w:before="60"/>
        <w:ind w:left="426"/>
        <w:rPr>
          <w:color w:val="4F81BD"/>
          <w:u w:color="4F81BD"/>
          <w:lang w:val="en-AU"/>
        </w:rPr>
      </w:pPr>
      <w:r>
        <w:t>No additional requirements</w:t>
      </w:r>
      <w:r w:rsidR="003614B4">
        <w:t>.</w:t>
      </w:r>
    </w:p>
    <w:p w14:paraId="2670869E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Task Related Tooling</w:t>
      </w:r>
    </w:p>
    <w:p w14:paraId="45E9147E" w14:textId="5533D5FE" w:rsidR="00D50914" w:rsidRPr="00805B8E" w:rsidRDefault="00B02A24">
      <w:pPr>
        <w:pStyle w:val="Body"/>
        <w:spacing w:before="60"/>
        <w:ind w:left="426"/>
        <w:rPr>
          <w:lang w:val="en-AU"/>
        </w:rPr>
      </w:pPr>
      <w:r>
        <w:t>Not applicable</w:t>
      </w:r>
      <w:r w:rsidR="003614B4"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  <w:r w:rsidR="00D46567" w:rsidRPr="00805B8E">
        <w:rPr>
          <w:rFonts w:ascii="Arial Unicode MS" w:eastAsia="Arial Unicode MS" w:hAnsi="Arial Unicode MS" w:cs="Arial Unicode MS"/>
          <w:color w:val="4F81BD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805B8E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805B8E">
        <w:rPr>
          <w:lang w:val="en-AU"/>
        </w:rPr>
        <w:t>Design Standard</w:t>
      </w:r>
    </w:p>
    <w:p w14:paraId="484B3B33" w14:textId="77777777" w:rsidR="00705426" w:rsidRDefault="00705426" w:rsidP="00705426">
      <w:pPr>
        <w:pStyle w:val="Body"/>
        <w:spacing w:before="60"/>
        <w:ind w:left="426"/>
      </w:pPr>
      <w:r>
        <w:t xml:space="preserve">International standard relevant for the type of fall protection equipment </w:t>
      </w:r>
      <w:proofErr w:type="spellStart"/>
      <w:r>
        <w:t>e.g</w:t>
      </w:r>
      <w:proofErr w:type="spellEnd"/>
      <w:r>
        <w:t>:</w:t>
      </w:r>
    </w:p>
    <w:p w14:paraId="7DDD9C59" w14:textId="27A8FCC5" w:rsidR="00B02A24" w:rsidRDefault="00B02A24" w:rsidP="00B02A24">
      <w:pPr>
        <w:pStyle w:val="Body"/>
        <w:numPr>
          <w:ilvl w:val="0"/>
          <w:numId w:val="14"/>
        </w:numPr>
        <w:spacing w:before="60"/>
      </w:pPr>
      <w:r>
        <w:t>AS 1576 series - Scaffolding</w:t>
      </w:r>
    </w:p>
    <w:p w14:paraId="5A619F60" w14:textId="2C327B17" w:rsidR="00FA6177" w:rsidRDefault="00B02A24" w:rsidP="00B02A24">
      <w:pPr>
        <w:pStyle w:val="Body"/>
        <w:numPr>
          <w:ilvl w:val="0"/>
          <w:numId w:val="14"/>
        </w:numPr>
        <w:spacing w:before="60"/>
      </w:pPr>
      <w:r>
        <w:t>ANSI / ASSE A10.8 – Scaffolding Safety Requirements</w:t>
      </w:r>
    </w:p>
    <w:p w14:paraId="6F40D45C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Parameters</w:t>
      </w:r>
    </w:p>
    <w:p w14:paraId="039A65E6" w14:textId="68C9A33D" w:rsidR="00B02A24" w:rsidRDefault="00B02A24" w:rsidP="00B02A24">
      <w:pPr>
        <w:pStyle w:val="Body"/>
        <w:spacing w:before="60" w:after="60"/>
        <w:ind w:left="426"/>
        <w:jc w:val="both"/>
      </w:pPr>
      <w:r>
        <w:t>The working load limit of any scaffold (including people, materials and equipment) must not be exceeded.</w:t>
      </w:r>
    </w:p>
    <w:p w14:paraId="50F4FB4D" w14:textId="2249157A" w:rsidR="00D50914" w:rsidRPr="00D13286" w:rsidRDefault="00B02A24" w:rsidP="00B02A24">
      <w:pPr>
        <w:pStyle w:val="Body"/>
        <w:spacing w:before="60" w:after="60"/>
        <w:ind w:left="426"/>
        <w:jc w:val="both"/>
      </w:pPr>
      <w:r>
        <w:t>Scaffolds must be constructed with a handrail, mid rail and toe board at every open edge of a work platform</w:t>
      </w:r>
      <w:r w:rsidR="00FA6177">
        <w:t>.</w:t>
      </w:r>
    </w:p>
    <w:p w14:paraId="61599B4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726A793B" w:rsidR="00D50914" w:rsidRPr="00805B8E" w:rsidRDefault="00B02A24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B02A24">
        <w:t>Scaffold is to be inspected at least monthly an</w:t>
      </w:r>
      <w:r>
        <w:t>d re-approved for continued use</w:t>
      </w:r>
      <w:r w:rsidR="00E17175" w:rsidRPr="00E17175"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4A6707B1" w:rsidR="00D50914" w:rsidRPr="00D13286" w:rsidRDefault="000C433F" w:rsidP="000C433F">
      <w:pPr>
        <w:pStyle w:val="Body"/>
        <w:spacing w:before="60" w:after="60"/>
        <w:ind w:left="426"/>
        <w:jc w:val="both"/>
      </w:pPr>
      <w:r w:rsidRPr="009F3D26">
        <w:t>Not applicable</w:t>
      </w:r>
      <w:r w:rsidR="003614B4">
        <w:t>.</w:t>
      </w:r>
    </w:p>
    <w:p w14:paraId="4F1430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Requirements</w:t>
      </w:r>
    </w:p>
    <w:p w14:paraId="36910864" w14:textId="10EEB174" w:rsidR="00D50914" w:rsidRPr="00805B8E" w:rsidRDefault="001B28CD">
      <w:pPr>
        <w:pStyle w:val="Body"/>
        <w:spacing w:before="60"/>
        <w:ind w:left="426"/>
        <w:rPr>
          <w:lang w:val="en-AU"/>
        </w:rPr>
      </w:pPr>
      <w:r w:rsidRPr="009F3D26">
        <w:t>No</w:t>
      </w:r>
      <w:r w:rsidR="00E17175">
        <w:t xml:space="preserve"> additional requirements</w:t>
      </w:r>
      <w:r w:rsidR="003614B4">
        <w:t>.</w:t>
      </w:r>
    </w:p>
    <w:sectPr w:rsidR="00D50914" w:rsidRPr="00805B8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DDAEC" w14:textId="77777777" w:rsidR="00325B1F" w:rsidRDefault="00325B1F">
      <w:r>
        <w:separator/>
      </w:r>
    </w:p>
  </w:endnote>
  <w:endnote w:type="continuationSeparator" w:id="0">
    <w:p w14:paraId="51242698" w14:textId="77777777" w:rsidR="00325B1F" w:rsidRDefault="0032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02A24">
      <w:rPr>
        <w:noProof/>
      </w:rPr>
      <w:t>4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B02A24">
      <w:rPr>
        <w:noProof/>
      </w:rPr>
      <w:t>4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4C6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3E4C6C">
      <w:rPr>
        <w:noProof/>
      </w:rPr>
      <w:t>5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F868" w14:textId="77777777" w:rsidR="00325B1F" w:rsidRDefault="00325B1F">
      <w:r>
        <w:separator/>
      </w:r>
    </w:p>
  </w:footnote>
  <w:footnote w:type="continuationSeparator" w:id="0">
    <w:p w14:paraId="2C0BA966" w14:textId="77777777" w:rsidR="00325B1F" w:rsidRDefault="0032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6BE9" w14:textId="00A3E68A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AD2FB5">
      <w:t>-</w:t>
    </w:r>
    <w:r w:rsidR="00C31703">
      <w:t>31</w:t>
    </w:r>
    <w:r w:rsidR="000546F4">
      <w:t>5</w:t>
    </w:r>
    <w:r>
      <w:tab/>
    </w:r>
    <w:r>
      <w:rPr>
        <w:sz w:val="24"/>
        <w:szCs w:val="24"/>
      </w:rPr>
      <w:t>Procedure</w:t>
    </w:r>
  </w:p>
  <w:p w14:paraId="0EAA7A52" w14:textId="01D4080B" w:rsidR="00D50914" w:rsidRPr="006C7F8D" w:rsidRDefault="00325B1F" w:rsidP="006C7F8D">
    <w:pPr>
      <w:pStyle w:val="Header"/>
      <w:tabs>
        <w:tab w:val="clear" w:pos="4320"/>
        <w:tab w:val="clear" w:pos="8640"/>
        <w:tab w:val="left" w:pos="0"/>
        <w:tab w:val="center" w:pos="4513"/>
        <w:tab w:val="right" w:pos="9072"/>
      </w:tabs>
      <w:jc w:val="center"/>
      <w:rPr>
        <w:rFonts w:cs="Arial"/>
        <w:sz w:val="24"/>
        <w:szCs w:val="28"/>
      </w:rPr>
    </w:pPr>
    <w:sdt>
      <w:sdtPr>
        <w:rPr>
          <w:rFonts w:cs="Arial"/>
          <w:sz w:val="28"/>
          <w:szCs w:val="28"/>
        </w:rPr>
        <w:alias w:val="Title"/>
        <w:tag w:val=""/>
        <w:id w:val="-15107559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546F4">
          <w:rPr>
            <w:rFonts w:cs="Arial"/>
            <w:sz w:val="28"/>
            <w:szCs w:val="28"/>
            <w:lang w:val="en-GB"/>
          </w:rPr>
          <w:t>Working from Scaffolding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sdt>
    <w:sdtPr>
      <w:alias w:val="Title"/>
      <w:tag w:val=""/>
      <w:id w:val="1006257187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A011C5B" w14:textId="7C8F5731" w:rsidR="00D50914" w:rsidRPr="006C7F8D" w:rsidRDefault="000546F4" w:rsidP="006C7F8D">
        <w:pPr>
          <w:pStyle w:val="ReportCoverTitle"/>
          <w:rPr>
            <w:rFonts w:cs="Times New Roman"/>
            <w:b w:val="0"/>
            <w:sz w:val="22"/>
          </w:rPr>
        </w:pPr>
        <w:r w:rsidRPr="000546F4">
          <w:t>Working from Scaffolding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F9C7429"/>
    <w:multiLevelType w:val="hybridMultilevel"/>
    <w:tmpl w:val="1F28862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594F50"/>
    <w:multiLevelType w:val="hybridMultilevel"/>
    <w:tmpl w:val="E20448F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A064FD"/>
    <w:multiLevelType w:val="hybridMultilevel"/>
    <w:tmpl w:val="0F2C730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910B23"/>
    <w:multiLevelType w:val="hybridMultilevel"/>
    <w:tmpl w:val="C39A888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1E8772C"/>
    <w:multiLevelType w:val="hybridMultilevel"/>
    <w:tmpl w:val="28D6148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2251140"/>
    <w:multiLevelType w:val="hybridMultilevel"/>
    <w:tmpl w:val="EBF0DAA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55A2B1F"/>
    <w:multiLevelType w:val="hybridMultilevel"/>
    <w:tmpl w:val="1CF41D5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8395AC8"/>
    <w:multiLevelType w:val="multilevel"/>
    <w:tmpl w:val="5562FB50"/>
    <w:numStyleLink w:val="ImportedStyle1"/>
  </w:abstractNum>
  <w:abstractNum w:abstractNumId="9" w15:restartNumberingAfterBreak="0">
    <w:nsid w:val="5F57453C"/>
    <w:multiLevelType w:val="hybridMultilevel"/>
    <w:tmpl w:val="8B50E21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8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14"/>
    <w:rsid w:val="00036635"/>
    <w:rsid w:val="000546F4"/>
    <w:rsid w:val="000918EF"/>
    <w:rsid w:val="000C433F"/>
    <w:rsid w:val="000E0F20"/>
    <w:rsid w:val="00126613"/>
    <w:rsid w:val="001B28CD"/>
    <w:rsid w:val="001E5412"/>
    <w:rsid w:val="00214CB8"/>
    <w:rsid w:val="00235E87"/>
    <w:rsid w:val="002B3590"/>
    <w:rsid w:val="003043AD"/>
    <w:rsid w:val="00304FA0"/>
    <w:rsid w:val="00325B1F"/>
    <w:rsid w:val="003614B4"/>
    <w:rsid w:val="003E4C6C"/>
    <w:rsid w:val="00411898"/>
    <w:rsid w:val="00513EB1"/>
    <w:rsid w:val="005427D9"/>
    <w:rsid w:val="00574A55"/>
    <w:rsid w:val="00593EDB"/>
    <w:rsid w:val="005C2371"/>
    <w:rsid w:val="00606806"/>
    <w:rsid w:val="00650A34"/>
    <w:rsid w:val="006976BE"/>
    <w:rsid w:val="006C7C9C"/>
    <w:rsid w:val="006C7F8D"/>
    <w:rsid w:val="00705426"/>
    <w:rsid w:val="00772102"/>
    <w:rsid w:val="007747E9"/>
    <w:rsid w:val="007E1186"/>
    <w:rsid w:val="00805B8E"/>
    <w:rsid w:val="008426E2"/>
    <w:rsid w:val="00860B2C"/>
    <w:rsid w:val="008E7543"/>
    <w:rsid w:val="00926734"/>
    <w:rsid w:val="00937FB1"/>
    <w:rsid w:val="00962E68"/>
    <w:rsid w:val="00967F42"/>
    <w:rsid w:val="009D7B3B"/>
    <w:rsid w:val="00A0501D"/>
    <w:rsid w:val="00AB296C"/>
    <w:rsid w:val="00AD2FB5"/>
    <w:rsid w:val="00B02A24"/>
    <w:rsid w:val="00B86E30"/>
    <w:rsid w:val="00BB3645"/>
    <w:rsid w:val="00BC3D9B"/>
    <w:rsid w:val="00BD2891"/>
    <w:rsid w:val="00BF564D"/>
    <w:rsid w:val="00C140CE"/>
    <w:rsid w:val="00C31703"/>
    <w:rsid w:val="00D13286"/>
    <w:rsid w:val="00D46567"/>
    <w:rsid w:val="00D50914"/>
    <w:rsid w:val="00D86C82"/>
    <w:rsid w:val="00DB3FD4"/>
    <w:rsid w:val="00E17175"/>
    <w:rsid w:val="00E34617"/>
    <w:rsid w:val="00EC2FD8"/>
    <w:rsid w:val="00ED0E52"/>
    <w:rsid w:val="00F72CF5"/>
    <w:rsid w:val="00FA3F90"/>
    <w:rsid w:val="00FA6177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qFormat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table" w:styleId="TableGrid">
    <w:name w:val="Table Grid"/>
    <w:basedOn w:val="TableNormal"/>
    <w:rsid w:val="006C7F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bdr w:val="none" w:sz="0" w:space="0" w:color="auto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3614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semiHidden/>
    <w:rsid w:val="003614B4"/>
    <w:rPr>
      <w:rFonts w:ascii="Tahoma" w:eastAsia="Times New Roman" w:hAnsi="Tahoma" w:cs="Tahoma"/>
      <w:sz w:val="16"/>
      <w:szCs w:val="16"/>
      <w:bdr w:val="none" w:sz="0" w:space="0" w:color="auto"/>
      <w:lang w:val="en-AU" w:eastAsia="en-US"/>
    </w:rPr>
  </w:style>
  <w:style w:type="paragraph" w:styleId="ListParagraph">
    <w:name w:val="List Paragraph"/>
    <w:basedOn w:val="Normal"/>
    <w:uiPriority w:val="34"/>
    <w:qFormat/>
    <w:rsid w:val="0036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DB625-3EF9-45C3-AE94-21D29636B185}"/>
</file>

<file path=customXml/itemProps2.xml><?xml version="1.0" encoding="utf-8"?>
<ds:datastoreItem xmlns:ds="http://schemas.openxmlformats.org/officeDocument/2006/customXml" ds:itemID="{77FFE184-B745-4F03-AF30-3DE01971629F}"/>
</file>

<file path=customXml/itemProps3.xml><?xml version="1.0" encoding="utf-8"?>
<ds:datastoreItem xmlns:ds="http://schemas.openxmlformats.org/officeDocument/2006/customXml" ds:itemID="{60486E8E-7430-4680-B63C-C0E0C84F02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Vehicles and Mobile Equipment - Forklifts 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from Scaffolding</dc:title>
  <cp:lastModifiedBy>Shayne Arthur</cp:lastModifiedBy>
  <cp:revision>4</cp:revision>
  <dcterms:created xsi:type="dcterms:W3CDTF">2017-12-18T03:06:00Z</dcterms:created>
  <dcterms:modified xsi:type="dcterms:W3CDTF">2019-03-16T22:52:00Z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