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24B14" w14:textId="77777777" w:rsidR="00D50914" w:rsidRPr="00EC2949" w:rsidRDefault="00D46567">
      <w:pPr>
        <w:pStyle w:val="ReportCoverText"/>
        <w:rPr>
          <w:lang w:val="en-AU"/>
        </w:rPr>
      </w:pPr>
      <w:r w:rsidRPr="00EC2949">
        <w:rPr>
          <w:noProof/>
          <w:lang w:val="en-AU"/>
        </w:rPr>
        <w:drawing>
          <wp:anchor distT="152400" distB="152400" distL="152400" distR="152400" simplePos="0" relativeHeight="251659264" behindDoc="0" locked="0" layoutInCell="1" allowOverlap="1" wp14:anchorId="74FBC5F5" wp14:editId="79E63BD7">
            <wp:simplePos x="0" y="0"/>
            <wp:positionH relativeFrom="margin">
              <wp:posOffset>-6350</wp:posOffset>
            </wp:positionH>
            <wp:positionV relativeFrom="page">
              <wp:posOffset>641944</wp:posOffset>
            </wp:positionV>
            <wp:extent cx="1430243" cy="505407"/>
            <wp:effectExtent l="0" t="0" r="0" b="0"/>
            <wp:wrapThrough wrapText="bothSides" distL="152400" distR="152400">
              <wp:wrapPolygon edited="1">
                <wp:start x="378" y="0"/>
                <wp:lineTo x="378" y="5546"/>
                <wp:lineTo x="168" y="7310"/>
                <wp:lineTo x="2044" y="7462"/>
                <wp:lineTo x="2044" y="7904"/>
                <wp:lineTo x="1001" y="11093"/>
                <wp:lineTo x="1253" y="13569"/>
                <wp:lineTo x="2002" y="11805"/>
                <wp:lineTo x="2919" y="14519"/>
                <wp:lineTo x="2961" y="10737"/>
                <wp:lineTo x="2044" y="7904"/>
                <wp:lineTo x="2044" y="7462"/>
                <wp:lineTo x="3087" y="7548"/>
                <wp:lineTo x="3087" y="17589"/>
                <wp:lineTo x="2296" y="16996"/>
                <wp:lineTo x="1456" y="15113"/>
                <wp:lineTo x="917" y="12280"/>
                <wp:lineTo x="917" y="7904"/>
                <wp:lineTo x="84" y="7904"/>
                <wp:lineTo x="84" y="12382"/>
                <wp:lineTo x="539" y="15452"/>
                <wp:lineTo x="1421" y="18047"/>
                <wp:lineTo x="2625" y="19709"/>
                <wp:lineTo x="4339" y="19709"/>
                <wp:lineTo x="5460" y="18285"/>
                <wp:lineTo x="6299" y="15927"/>
                <wp:lineTo x="6881" y="12501"/>
                <wp:lineTo x="6923" y="8023"/>
                <wp:lineTo x="6090" y="7904"/>
                <wp:lineTo x="6132" y="11924"/>
                <wp:lineTo x="5754" y="14400"/>
                <wp:lineTo x="4837" y="16758"/>
                <wp:lineTo x="3920" y="17589"/>
                <wp:lineTo x="3878" y="7548"/>
                <wp:lineTo x="4963" y="7548"/>
                <wp:lineTo x="4963" y="7904"/>
                <wp:lineTo x="4130" y="10499"/>
                <wp:lineTo x="4046" y="14638"/>
                <wp:lineTo x="5005" y="11805"/>
                <wp:lineTo x="5586" y="13332"/>
                <wp:lineTo x="5796" y="13332"/>
                <wp:lineTo x="6006" y="11093"/>
                <wp:lineTo x="4963" y="7904"/>
                <wp:lineTo x="4963" y="7548"/>
                <wp:lineTo x="6839" y="7548"/>
                <wp:lineTo x="6629" y="5665"/>
                <wp:lineTo x="378" y="5546"/>
                <wp:lineTo x="378" y="0"/>
                <wp:lineTo x="3129" y="0"/>
                <wp:lineTo x="3129" y="119"/>
                <wp:lineTo x="1960" y="1069"/>
                <wp:lineTo x="1001" y="3070"/>
                <wp:lineTo x="497" y="5190"/>
                <wp:lineTo x="1456" y="5190"/>
                <wp:lineTo x="1666" y="4478"/>
                <wp:lineTo x="2625" y="2833"/>
                <wp:lineTo x="3878" y="2476"/>
                <wp:lineTo x="4753" y="3308"/>
                <wp:lineTo x="5460" y="4953"/>
                <wp:lineTo x="6503" y="4953"/>
                <wp:lineTo x="5670" y="2239"/>
                <wp:lineTo x="4459" y="475"/>
                <wp:lineTo x="3129" y="119"/>
                <wp:lineTo x="3129" y="0"/>
                <wp:lineTo x="8547" y="0"/>
                <wp:lineTo x="8092" y="356"/>
                <wp:lineTo x="7462" y="2001"/>
                <wp:lineTo x="7258" y="4478"/>
                <wp:lineTo x="7258" y="5190"/>
                <wp:lineTo x="7462" y="7244"/>
                <wp:lineTo x="7462" y="11449"/>
                <wp:lineTo x="7216" y="19947"/>
                <wp:lineTo x="8134" y="19947"/>
                <wp:lineTo x="8253" y="15808"/>
                <wp:lineTo x="7462" y="11449"/>
                <wp:lineTo x="7462" y="7244"/>
                <wp:lineTo x="7504" y="7667"/>
                <wp:lineTo x="7546" y="7769"/>
                <wp:lineTo x="7546" y="10499"/>
                <wp:lineTo x="8589" y="16877"/>
                <wp:lineTo x="9009" y="17114"/>
                <wp:lineTo x="9254" y="15452"/>
                <wp:lineTo x="9380" y="19947"/>
                <wp:lineTo x="10339" y="19947"/>
                <wp:lineTo x="9968" y="10499"/>
                <wp:lineTo x="9218" y="10499"/>
                <wp:lineTo x="8883" y="12382"/>
                <wp:lineTo x="8505" y="10737"/>
                <wp:lineTo x="7546" y="10499"/>
                <wp:lineTo x="7546" y="7769"/>
                <wp:lineTo x="8134" y="9210"/>
                <wp:lineTo x="9134" y="9329"/>
                <wp:lineTo x="9758" y="7904"/>
                <wp:lineTo x="10093" y="5428"/>
                <wp:lineTo x="9296" y="5190"/>
                <wp:lineTo x="9254" y="6140"/>
                <wp:lineTo x="8841" y="7310"/>
                <wp:lineTo x="8253" y="6954"/>
                <wp:lineTo x="8050" y="5428"/>
                <wp:lineTo x="7258" y="5190"/>
                <wp:lineTo x="7258" y="4478"/>
                <wp:lineTo x="8008" y="4478"/>
                <wp:lineTo x="8008" y="4020"/>
                <wp:lineTo x="8295" y="2358"/>
                <wp:lineTo x="8883" y="2120"/>
                <wp:lineTo x="9134" y="2714"/>
                <wp:lineTo x="9296" y="4478"/>
                <wp:lineTo x="10093" y="4478"/>
                <wp:lineTo x="9926" y="2358"/>
                <wp:lineTo x="9338" y="475"/>
                <wp:lineTo x="8547" y="0"/>
                <wp:lineTo x="10255" y="0"/>
                <wp:lineTo x="10213" y="9448"/>
                <wp:lineTo x="10843" y="9532"/>
                <wp:lineTo x="10843" y="10380"/>
                <wp:lineTo x="10843" y="19947"/>
                <wp:lineTo x="11676" y="19947"/>
                <wp:lineTo x="11718" y="10499"/>
                <wp:lineTo x="10843" y="10380"/>
                <wp:lineTo x="10843" y="9532"/>
                <wp:lineTo x="11094" y="9566"/>
                <wp:lineTo x="11094" y="4597"/>
                <wp:lineTo x="11886" y="9329"/>
                <wp:lineTo x="12257" y="9424"/>
                <wp:lineTo x="12257" y="10499"/>
                <wp:lineTo x="12257" y="12043"/>
                <wp:lineTo x="12257" y="12976"/>
                <wp:lineTo x="12257" y="19947"/>
                <wp:lineTo x="13054" y="19947"/>
                <wp:lineTo x="13054" y="16402"/>
                <wp:lineTo x="12257" y="12976"/>
                <wp:lineTo x="12257" y="12043"/>
                <wp:lineTo x="13971" y="19709"/>
                <wp:lineTo x="14511" y="19947"/>
                <wp:lineTo x="14511" y="10499"/>
                <wp:lineTo x="13762" y="10499"/>
                <wp:lineTo x="13762" y="13925"/>
                <wp:lineTo x="12970" y="10737"/>
                <wp:lineTo x="12257" y="10499"/>
                <wp:lineTo x="12257" y="9424"/>
                <wp:lineTo x="12803" y="9566"/>
                <wp:lineTo x="11592" y="2358"/>
                <wp:lineTo x="11136" y="4122"/>
                <wp:lineTo x="11094" y="0"/>
                <wp:lineTo x="10255" y="0"/>
                <wp:lineTo x="12053" y="0"/>
                <wp:lineTo x="11718" y="1527"/>
                <wp:lineTo x="12095" y="3901"/>
                <wp:lineTo x="12887" y="0"/>
                <wp:lineTo x="12053" y="0"/>
                <wp:lineTo x="13552" y="0"/>
                <wp:lineTo x="13510" y="2239"/>
                <wp:lineTo x="14055" y="2239"/>
                <wp:lineTo x="14055" y="2595"/>
                <wp:lineTo x="14055" y="9566"/>
                <wp:lineTo x="14972" y="9566"/>
                <wp:lineTo x="14972" y="2595"/>
                <wp:lineTo x="14055" y="2595"/>
                <wp:lineTo x="14055" y="2239"/>
                <wp:lineTo x="15134" y="2239"/>
                <wp:lineTo x="15134" y="10380"/>
                <wp:lineTo x="15092" y="19947"/>
                <wp:lineTo x="15973" y="19947"/>
                <wp:lineTo x="15973" y="10380"/>
                <wp:lineTo x="15134" y="10380"/>
                <wp:lineTo x="15134" y="2239"/>
                <wp:lineTo x="15512" y="2239"/>
                <wp:lineTo x="15512" y="0"/>
                <wp:lineTo x="13552" y="0"/>
                <wp:lineTo x="15764" y="0"/>
                <wp:lineTo x="15764" y="9566"/>
                <wp:lineTo x="16555" y="9566"/>
                <wp:lineTo x="16555" y="10499"/>
                <wp:lineTo x="16555" y="12280"/>
                <wp:lineTo x="16555" y="13213"/>
                <wp:lineTo x="16555" y="19947"/>
                <wp:lineTo x="17304" y="19947"/>
                <wp:lineTo x="17304" y="16402"/>
                <wp:lineTo x="16555" y="13213"/>
                <wp:lineTo x="16555" y="12280"/>
                <wp:lineTo x="18221" y="19828"/>
                <wp:lineTo x="18808" y="19947"/>
                <wp:lineTo x="18808" y="10499"/>
                <wp:lineTo x="18011" y="10499"/>
                <wp:lineTo x="18011" y="13925"/>
                <wp:lineTo x="17220" y="10618"/>
                <wp:lineTo x="16555" y="10499"/>
                <wp:lineTo x="16555" y="9566"/>
                <wp:lineTo x="16639" y="9566"/>
                <wp:lineTo x="16639" y="0"/>
                <wp:lineTo x="15764" y="0"/>
                <wp:lineTo x="16806" y="0"/>
                <wp:lineTo x="16806" y="2239"/>
                <wp:lineTo x="16806" y="3189"/>
                <wp:lineTo x="16806" y="5190"/>
                <wp:lineTo x="16806" y="7429"/>
                <wp:lineTo x="16806" y="9566"/>
                <wp:lineTo x="17640" y="9566"/>
                <wp:lineTo x="17682" y="7429"/>
                <wp:lineTo x="16806" y="7429"/>
                <wp:lineTo x="16806" y="5190"/>
                <wp:lineTo x="17640" y="5190"/>
                <wp:lineTo x="17640" y="3189"/>
                <wp:lineTo x="16806" y="3189"/>
                <wp:lineTo x="16806" y="2239"/>
                <wp:lineTo x="17640" y="2239"/>
                <wp:lineTo x="17682" y="119"/>
                <wp:lineTo x="16806" y="0"/>
                <wp:lineTo x="17969" y="0"/>
                <wp:lineTo x="17969" y="9566"/>
                <wp:lineTo x="18808" y="9566"/>
                <wp:lineTo x="18808" y="0"/>
                <wp:lineTo x="17969" y="0"/>
                <wp:lineTo x="19012" y="0"/>
                <wp:lineTo x="18970" y="2120"/>
                <wp:lineTo x="19348" y="2358"/>
                <wp:lineTo x="19725" y="3426"/>
                <wp:lineTo x="19851" y="5309"/>
                <wp:lineTo x="19558" y="6852"/>
                <wp:lineTo x="19012" y="7310"/>
                <wp:lineTo x="18970" y="9448"/>
                <wp:lineTo x="19767" y="9091"/>
                <wp:lineTo x="20349" y="7429"/>
                <wp:lineTo x="20433" y="6438"/>
                <wp:lineTo x="20433" y="10262"/>
                <wp:lineTo x="20055" y="10618"/>
                <wp:lineTo x="19390" y="12501"/>
                <wp:lineTo x="19180" y="15113"/>
                <wp:lineTo x="19971" y="15113"/>
                <wp:lineTo x="20013" y="14044"/>
                <wp:lineTo x="20307" y="12857"/>
                <wp:lineTo x="20600" y="12671"/>
                <wp:lineTo x="20600" y="13569"/>
                <wp:lineTo x="20600" y="15808"/>
                <wp:lineTo x="20852" y="15808"/>
                <wp:lineTo x="20852" y="17708"/>
                <wp:lineTo x="20349" y="17233"/>
                <wp:lineTo x="20055" y="15927"/>
                <wp:lineTo x="19180" y="15808"/>
                <wp:lineTo x="19264" y="16996"/>
                <wp:lineTo x="19725" y="18878"/>
                <wp:lineTo x="20433" y="19947"/>
                <wp:lineTo x="21559" y="19591"/>
                <wp:lineTo x="21601" y="13688"/>
                <wp:lineTo x="20600" y="13569"/>
                <wp:lineTo x="20600" y="12671"/>
                <wp:lineTo x="21056" y="12382"/>
                <wp:lineTo x="21518" y="13094"/>
                <wp:lineTo x="21601" y="10618"/>
                <wp:lineTo x="20433" y="10262"/>
                <wp:lineTo x="20433" y="6438"/>
                <wp:lineTo x="20559" y="4953"/>
                <wp:lineTo x="20433" y="2476"/>
                <wp:lineTo x="19929" y="831"/>
                <wp:lineTo x="19012" y="0"/>
                <wp:lineTo x="20726" y="0"/>
                <wp:lineTo x="20684" y="9448"/>
                <wp:lineTo x="21559" y="9566"/>
                <wp:lineTo x="21559" y="0"/>
                <wp:lineTo x="20726" y="0"/>
                <wp:lineTo x="378"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K Tedi Logo.png"/>
                    <pic:cNvPicPr>
                      <a:picLocks noChangeAspect="1"/>
                    </pic:cNvPicPr>
                  </pic:nvPicPr>
                  <pic:blipFill>
                    <a:blip r:embed="rId7">
                      <a:extLst/>
                    </a:blip>
                    <a:srcRect b="57628"/>
                    <a:stretch>
                      <a:fillRect/>
                    </a:stretch>
                  </pic:blipFill>
                  <pic:spPr>
                    <a:xfrm>
                      <a:off x="0" y="0"/>
                      <a:ext cx="1430243" cy="505407"/>
                    </a:xfrm>
                    <a:prstGeom prst="rect">
                      <a:avLst/>
                    </a:prstGeom>
                    <a:ln w="12700" cap="flat">
                      <a:noFill/>
                      <a:miter lim="400000"/>
                    </a:ln>
                    <a:effectLst/>
                  </pic:spPr>
                </pic:pic>
              </a:graphicData>
            </a:graphic>
          </wp:anchor>
        </w:drawing>
      </w:r>
    </w:p>
    <w:p w14:paraId="59E72D3C" w14:textId="77777777" w:rsidR="00D50914" w:rsidRPr="00EC2949" w:rsidRDefault="00D46567">
      <w:pPr>
        <w:pStyle w:val="ReportCoverText"/>
        <w:rPr>
          <w:b/>
          <w:bCs/>
          <w:sz w:val="40"/>
          <w:szCs w:val="40"/>
          <w:lang w:val="en-AU"/>
        </w:rPr>
      </w:pPr>
      <w:r w:rsidRPr="00EC2949">
        <w:rPr>
          <w:rFonts w:eastAsia="Arial Unicode MS"/>
          <w:b/>
          <w:bCs/>
          <w:sz w:val="40"/>
          <w:szCs w:val="40"/>
          <w:lang w:val="en-AU"/>
        </w:rPr>
        <w:t>Key Control Data Sheet</w:t>
      </w:r>
    </w:p>
    <w:p w14:paraId="14BF3103" w14:textId="77777777" w:rsidR="00D50914" w:rsidRPr="00EC2949" w:rsidRDefault="00D50914">
      <w:pPr>
        <w:pStyle w:val="ReportCoverText"/>
        <w:rPr>
          <w:lang w:val="en-AU"/>
        </w:rPr>
      </w:pPr>
    </w:p>
    <w:p w14:paraId="05C80E3E" w14:textId="1725FD92" w:rsidR="00D50914" w:rsidRPr="00EC2949" w:rsidRDefault="00D46567">
      <w:pPr>
        <w:pStyle w:val="ReportCoverText"/>
        <w:rPr>
          <w:lang w:val="en-AU"/>
        </w:rPr>
      </w:pPr>
      <w:r w:rsidRPr="00EC2949">
        <w:rPr>
          <w:rFonts w:eastAsia="Arial Unicode MS"/>
          <w:lang w:val="en-AU"/>
        </w:rPr>
        <w:t xml:space="preserve">Procedure Number: </w:t>
      </w:r>
      <w:r w:rsidRPr="00EC2949">
        <w:rPr>
          <w:rFonts w:eastAsia="Arial Unicode MS"/>
          <w:u w:color="4F81BD"/>
          <w:lang w:val="en-AU"/>
        </w:rPr>
        <w:t>RSK-PRO-KCD</w:t>
      </w:r>
      <w:r w:rsidR="007B3A2F" w:rsidRPr="00EC2949">
        <w:rPr>
          <w:rFonts w:eastAsia="Arial Unicode MS"/>
          <w:u w:color="4F81BD"/>
          <w:lang w:val="en-AU"/>
        </w:rPr>
        <w:t>-</w:t>
      </w:r>
      <w:r w:rsidR="00D14EF6">
        <w:rPr>
          <w:rFonts w:eastAsia="Arial Unicode MS"/>
          <w:u w:color="4F81BD"/>
          <w:lang w:val="en-AU"/>
        </w:rPr>
        <w:t>2</w:t>
      </w:r>
      <w:r w:rsidR="00631A19">
        <w:rPr>
          <w:rFonts w:eastAsia="Arial Unicode MS"/>
          <w:u w:color="4F81BD"/>
          <w:lang w:val="en-AU"/>
        </w:rPr>
        <w:t>54</w:t>
      </w:r>
    </w:p>
    <w:p w14:paraId="66D7254E" w14:textId="77777777" w:rsidR="00D50914" w:rsidRPr="00EC2949" w:rsidRDefault="00D50914">
      <w:pPr>
        <w:pStyle w:val="ReportCoverText"/>
        <w:rPr>
          <w:lang w:val="en-AU"/>
        </w:rPr>
      </w:pPr>
    </w:p>
    <w:p w14:paraId="66BF17CC" w14:textId="77777777" w:rsidR="00D50914" w:rsidRPr="00EC2949" w:rsidRDefault="00D46567">
      <w:pPr>
        <w:pStyle w:val="ReportCoverText"/>
        <w:rPr>
          <w:lang w:val="en-AU"/>
        </w:rPr>
      </w:pPr>
      <w:r w:rsidRPr="00EC2949">
        <w:rPr>
          <w:rFonts w:eastAsia="Arial Unicode MS"/>
          <w:lang w:val="en-AU"/>
        </w:rPr>
        <w:t xml:space="preserve">Scope of Application: Ok </w:t>
      </w:r>
      <w:proofErr w:type="spellStart"/>
      <w:r w:rsidRPr="00EC2949">
        <w:rPr>
          <w:rFonts w:eastAsia="Arial Unicode MS"/>
          <w:lang w:val="en-AU"/>
        </w:rPr>
        <w:t>Tedi</w:t>
      </w:r>
      <w:proofErr w:type="spellEnd"/>
      <w:r w:rsidRPr="00EC2949">
        <w:rPr>
          <w:rFonts w:eastAsia="Arial Unicode MS"/>
          <w:lang w:val="en-AU"/>
        </w:rPr>
        <w:t xml:space="preserve"> Mining Limited</w:t>
      </w:r>
    </w:p>
    <w:p w14:paraId="4C00CD9E" w14:textId="77777777" w:rsidR="00D50914" w:rsidRPr="00EC2949" w:rsidRDefault="00D50914">
      <w:pPr>
        <w:pStyle w:val="ReportCoverText"/>
        <w:rPr>
          <w:lang w:val="en-AU"/>
        </w:rPr>
      </w:pPr>
    </w:p>
    <w:p w14:paraId="55DCFE70" w14:textId="3F8FA813" w:rsidR="00D50914" w:rsidRPr="00EC2949" w:rsidRDefault="00D46567">
      <w:pPr>
        <w:pStyle w:val="ReportCoverText"/>
        <w:rPr>
          <w:i/>
          <w:iCs/>
          <w:color w:val="4F81BD"/>
          <w:u w:color="4F81BD"/>
          <w:lang w:val="en-AU"/>
        </w:rPr>
      </w:pPr>
      <w:r w:rsidRPr="00EC2949">
        <w:rPr>
          <w:rFonts w:eastAsia="Arial Unicode MS"/>
          <w:lang w:val="en-AU"/>
        </w:rPr>
        <w:t>Issued</w:t>
      </w:r>
      <w:r w:rsidRPr="00EC2949">
        <w:rPr>
          <w:rFonts w:eastAsia="Arial Unicode MS"/>
          <w:color w:val="000000" w:themeColor="text1"/>
          <w:lang w:val="en-AU"/>
        </w:rPr>
        <w:t xml:space="preserve">:  </w:t>
      </w:r>
      <w:proofErr w:type="gramStart"/>
      <w:r w:rsidR="00B03CDB" w:rsidRPr="00EC2949">
        <w:rPr>
          <w:rFonts w:eastAsia="Arial Unicode MS"/>
          <w:iCs/>
          <w:color w:val="000000" w:themeColor="text1"/>
          <w:u w:color="4F81BD"/>
          <w:lang w:val="en-AU"/>
        </w:rPr>
        <w:t>January</w:t>
      </w:r>
      <w:r w:rsidRPr="00EC2949">
        <w:rPr>
          <w:rFonts w:eastAsia="Arial Unicode MS"/>
          <w:iCs/>
          <w:color w:val="000000" w:themeColor="text1"/>
          <w:u w:color="4F81BD"/>
          <w:lang w:val="en-AU"/>
        </w:rPr>
        <w:t>,</w:t>
      </w:r>
      <w:proofErr w:type="gramEnd"/>
      <w:r w:rsidRPr="00EC2949">
        <w:rPr>
          <w:rFonts w:eastAsia="Arial Unicode MS"/>
          <w:iCs/>
          <w:color w:val="000000" w:themeColor="text1"/>
          <w:u w:color="4F81BD"/>
          <w:lang w:val="en-AU"/>
        </w:rPr>
        <w:t xml:space="preserve"> </w:t>
      </w:r>
      <w:r w:rsidR="007B3A2F" w:rsidRPr="00EC2949">
        <w:rPr>
          <w:rFonts w:eastAsia="Arial Unicode MS"/>
          <w:iCs/>
          <w:color w:val="000000" w:themeColor="text1"/>
          <w:u w:color="4F81BD"/>
          <w:lang w:val="en-AU"/>
        </w:rPr>
        <w:t>201</w:t>
      </w:r>
      <w:r w:rsidR="00B03CDB" w:rsidRPr="00EC2949">
        <w:rPr>
          <w:rFonts w:eastAsia="Arial Unicode MS"/>
          <w:iCs/>
          <w:color w:val="000000" w:themeColor="text1"/>
          <w:u w:color="4F81BD"/>
          <w:lang w:val="en-AU"/>
        </w:rPr>
        <w:t>9</w:t>
      </w:r>
    </w:p>
    <w:p w14:paraId="1A19F8F0" w14:textId="77777777" w:rsidR="00D50914" w:rsidRPr="00EC2949" w:rsidRDefault="00D50914">
      <w:pPr>
        <w:pStyle w:val="ReportCoverText"/>
        <w:rPr>
          <w:lang w:val="en-AU"/>
        </w:rPr>
      </w:pPr>
    </w:p>
    <w:p w14:paraId="716FD864" w14:textId="77777777" w:rsidR="00D50914" w:rsidRPr="00EC2949" w:rsidRDefault="00D46567">
      <w:pPr>
        <w:pStyle w:val="ReportCoverText"/>
        <w:rPr>
          <w:lang w:val="en-AU"/>
        </w:rPr>
      </w:pPr>
      <w:r w:rsidRPr="00EC2949">
        <w:rPr>
          <w:rFonts w:eastAsia="Arial Unicode MS"/>
          <w:lang w:val="en-AU"/>
        </w:rPr>
        <w:t>Document Owner: Manager – OHS &amp; Training</w:t>
      </w:r>
    </w:p>
    <w:p w14:paraId="6ACD5FEC" w14:textId="77777777" w:rsidR="00D50914" w:rsidRPr="00EC2949" w:rsidRDefault="00D50914">
      <w:pPr>
        <w:pStyle w:val="Body"/>
        <w:rPr>
          <w:b/>
          <w:bCs/>
          <w:lang w:val="en-AU"/>
        </w:rPr>
      </w:pPr>
    </w:p>
    <w:p w14:paraId="63E5DAA4" w14:textId="77777777" w:rsidR="00D50914" w:rsidRPr="00EC2949" w:rsidRDefault="00D50914">
      <w:pPr>
        <w:pStyle w:val="Body"/>
        <w:rPr>
          <w:b/>
          <w:bCs/>
          <w:color w:val="000000" w:themeColor="text1"/>
          <w:lang w:val="en-AU"/>
        </w:rPr>
      </w:pPr>
    </w:p>
    <w:p w14:paraId="505B7A5E" w14:textId="6018BEE7" w:rsidR="00D50914" w:rsidRPr="00CB5123" w:rsidRDefault="00D46567" w:rsidP="00EC294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rPr>
          <w:rFonts w:ascii="Arial" w:hAnsi="Arial" w:cs="Arial"/>
          <w:sz w:val="22"/>
          <w:szCs w:val="22"/>
          <w:lang w:eastAsia="en-AU"/>
        </w:rPr>
      </w:pPr>
      <w:r w:rsidRPr="00EC2949">
        <w:rPr>
          <w:rFonts w:ascii="Arial" w:hAnsi="Arial" w:cs="Arial"/>
          <w:b/>
          <w:bCs/>
          <w:color w:val="000000" w:themeColor="text1"/>
          <w:sz w:val="28"/>
          <w:szCs w:val="28"/>
        </w:rPr>
        <w:t>Why is the Control Important</w:t>
      </w:r>
      <w:r w:rsidRPr="00EC2949">
        <w:rPr>
          <w:rFonts w:ascii="Arial" w:hAnsi="Arial" w:cs="Arial"/>
          <w:color w:val="000000" w:themeColor="text1"/>
          <w:sz w:val="28"/>
          <w:szCs w:val="28"/>
        </w:rPr>
        <w:t xml:space="preserve"> –</w:t>
      </w:r>
      <w:r w:rsidRPr="00EC2949">
        <w:rPr>
          <w:rFonts w:ascii="Arial" w:hAnsi="Arial" w:cs="Arial"/>
          <w:color w:val="000000" w:themeColor="text1"/>
        </w:rPr>
        <w:t xml:space="preserve"> </w:t>
      </w:r>
      <w:r w:rsidR="006E2E4C" w:rsidRPr="006E2E4C">
        <w:rPr>
          <w:rFonts w:ascii="Arial" w:hAnsi="Arial" w:cs="Arial"/>
          <w:sz w:val="22"/>
          <w:szCs w:val="22"/>
          <w:lang w:eastAsia="en-AU"/>
        </w:rPr>
        <w:t xml:space="preserve">Equipment handling and moving shipping container such as large container forklifts, straddle carriers and </w:t>
      </w:r>
      <w:proofErr w:type="spellStart"/>
      <w:r w:rsidR="006E2E4C" w:rsidRPr="006E2E4C">
        <w:rPr>
          <w:rFonts w:ascii="Arial" w:hAnsi="Arial" w:cs="Arial"/>
          <w:sz w:val="22"/>
          <w:szCs w:val="22"/>
          <w:lang w:eastAsia="en-AU"/>
        </w:rPr>
        <w:t>sideloaders</w:t>
      </w:r>
      <w:proofErr w:type="spellEnd"/>
      <w:r w:rsidR="006E2E4C" w:rsidRPr="006E2E4C">
        <w:rPr>
          <w:rFonts w:ascii="Arial" w:hAnsi="Arial" w:cs="Arial"/>
          <w:sz w:val="22"/>
          <w:szCs w:val="22"/>
          <w:lang w:eastAsia="en-AU"/>
        </w:rPr>
        <w:t xml:space="preserve"> present increased potential for pedestrians to be struck by the equipment or its load. This can be prevented by assessing loads and load integrity prior to lifting, having trained and competent equipment operators, and ensuring pedestrian exclusion zones are strictly enforced around container handling operations</w:t>
      </w:r>
      <w:r w:rsidRPr="00CB5123">
        <w:rPr>
          <w:rFonts w:ascii="Arial" w:hAnsi="Arial" w:cs="Arial"/>
          <w:sz w:val="22"/>
          <w:szCs w:val="22"/>
          <w:lang w:eastAsia="en-AU"/>
        </w:rPr>
        <w:t>.</w:t>
      </w:r>
    </w:p>
    <w:p w14:paraId="3E25B3B5" w14:textId="377CDA55" w:rsidR="00D50914" w:rsidRPr="00CB5123" w:rsidRDefault="00D46567" w:rsidP="00343C7A">
      <w:pPr>
        <w:autoSpaceDE w:val="0"/>
        <w:autoSpaceDN w:val="0"/>
        <w:adjustRightInd w:val="0"/>
        <w:rPr>
          <w:rFonts w:ascii="Arial" w:hAnsi="Arial" w:cs="Arial"/>
          <w:sz w:val="22"/>
          <w:szCs w:val="22"/>
          <w:lang w:eastAsia="en-AU"/>
        </w:rPr>
      </w:pPr>
      <w:r w:rsidRPr="00EC2949">
        <w:rPr>
          <w:rFonts w:ascii="Arial" w:hAnsi="Arial" w:cs="Arial"/>
          <w:b/>
          <w:bCs/>
          <w:sz w:val="28"/>
          <w:szCs w:val="28"/>
        </w:rPr>
        <w:t>Exemption</w:t>
      </w:r>
      <w:r w:rsidRPr="00EC2949">
        <w:rPr>
          <w:rFonts w:ascii="Arial" w:hAnsi="Arial" w:cs="Arial"/>
          <w:sz w:val="28"/>
          <w:szCs w:val="28"/>
        </w:rPr>
        <w:t xml:space="preserve"> –</w:t>
      </w:r>
      <w:r w:rsidRPr="00EC2949">
        <w:rPr>
          <w:rFonts w:ascii="Arial" w:hAnsi="Arial" w:cs="Arial"/>
        </w:rPr>
        <w:t xml:space="preserve"> </w:t>
      </w:r>
      <w:r w:rsidR="006E2E4C" w:rsidRPr="006E2E4C">
        <w:rPr>
          <w:rFonts w:ascii="Arial" w:hAnsi="Arial" w:cs="Arial"/>
          <w:sz w:val="22"/>
          <w:szCs w:val="22"/>
          <w:lang w:eastAsia="en-AU"/>
        </w:rPr>
        <w:t>Shipping containers handled by crane</w:t>
      </w:r>
      <w:r w:rsidR="00CB5123" w:rsidRPr="00CB5123">
        <w:rPr>
          <w:rFonts w:ascii="Arial" w:hAnsi="Arial" w:cs="Arial"/>
          <w:sz w:val="22"/>
          <w:szCs w:val="22"/>
          <w:lang w:eastAsia="en-AU"/>
        </w:rPr>
        <w:t>.</w:t>
      </w:r>
      <w:r w:rsidRPr="00EC2949">
        <w:rPr>
          <w:rFonts w:ascii="Arial" w:hAnsi="Arial" w:cs="Arial"/>
          <w:sz w:val="22"/>
          <w:szCs w:val="22"/>
        </w:rPr>
        <w:br w:type="page"/>
      </w:r>
    </w:p>
    <w:p w14:paraId="476C0144" w14:textId="77777777" w:rsidR="00D50914" w:rsidRPr="00EC2949" w:rsidRDefault="00D46567">
      <w:pPr>
        <w:pStyle w:val="Body"/>
        <w:ind w:left="360"/>
        <w:jc w:val="center"/>
        <w:rPr>
          <w:b/>
          <w:bCs/>
          <w:sz w:val="32"/>
          <w:szCs w:val="32"/>
          <w:lang w:val="en-AU"/>
        </w:rPr>
      </w:pPr>
      <w:r w:rsidRPr="00EC2949">
        <w:rPr>
          <w:b/>
          <w:bCs/>
          <w:sz w:val="32"/>
          <w:szCs w:val="32"/>
          <w:lang w:val="en-AU"/>
        </w:rPr>
        <w:lastRenderedPageBreak/>
        <w:t>Operational Requirements</w:t>
      </w:r>
    </w:p>
    <w:p w14:paraId="157977BB" w14:textId="77777777" w:rsidR="00D50914" w:rsidRPr="00EC2949" w:rsidRDefault="00D46567">
      <w:pPr>
        <w:pStyle w:val="Heading2"/>
        <w:numPr>
          <w:ilvl w:val="0"/>
          <w:numId w:val="2"/>
        </w:numPr>
        <w:rPr>
          <w:rFonts w:cs="Arial"/>
          <w:lang w:val="en-AU"/>
        </w:rPr>
      </w:pPr>
      <w:r w:rsidRPr="00EC2949">
        <w:rPr>
          <w:rFonts w:cs="Arial"/>
          <w:lang w:val="en-AU"/>
        </w:rPr>
        <w:t xml:space="preserve">Performance Metrics  </w:t>
      </w:r>
    </w:p>
    <w:tbl>
      <w:tblPr>
        <w:tblW w:w="82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38"/>
        <w:gridCol w:w="4166"/>
      </w:tblGrid>
      <w:tr w:rsidR="006E2E4C" w:rsidRPr="00EC2949" w14:paraId="3E658530" w14:textId="77777777" w:rsidTr="006E2E4C">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F2F53B" w14:textId="58618C48" w:rsidR="006E2E4C" w:rsidRPr="00EC2949" w:rsidRDefault="006E2E4C" w:rsidP="006E2E4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4B1034">
              <w:rPr>
                <w:rFonts w:eastAsia="ヒラギノ角ゴ Pro W3"/>
              </w:rPr>
              <w:t>No-one enter</w:t>
            </w:r>
            <w:r>
              <w:rPr>
                <w:rFonts w:eastAsia="ヒラギノ角ゴ Pro W3"/>
              </w:rPr>
              <w:t>s</w:t>
            </w:r>
            <w:r w:rsidRPr="004B1034">
              <w:rPr>
                <w:rFonts w:eastAsia="ヒラギノ角ゴ Pro W3"/>
              </w:rPr>
              <w:t xml:space="preserve"> the exclusion zone</w:t>
            </w:r>
            <w:r>
              <w:rPr>
                <w:rFonts w:eastAsia="ヒラギノ角ゴ Pro W3"/>
              </w:rPr>
              <w:t xml:space="preserve"> </w:t>
            </w:r>
            <w:r w:rsidRPr="004B1034">
              <w:rPr>
                <w:rFonts w:eastAsia="ヒラギノ角ゴ Pro W3"/>
              </w:rPr>
              <w:t xml:space="preserve">without the </w:t>
            </w:r>
            <w:r>
              <w:rPr>
                <w:rFonts w:eastAsia="ヒラギノ角ゴ Pro W3"/>
              </w:rPr>
              <w:t xml:space="preserve">container handling equipment </w:t>
            </w:r>
            <w:r w:rsidRPr="004B1034">
              <w:rPr>
                <w:rFonts w:eastAsia="ヒラギノ角ゴ Pro W3"/>
              </w:rPr>
              <w:t>operator’s approval</w:t>
            </w:r>
            <w:r>
              <w:rPr>
                <w:rFonts w:eastAsia="ヒラギノ角ゴ Pro W3"/>
              </w:rPr>
              <w:t xml:space="preserve">. </w:t>
            </w:r>
            <w:r>
              <w:t xml:space="preserve"> </w:t>
            </w:r>
            <w:r w:rsidRPr="006A6920">
              <w:rPr>
                <w:rFonts w:eastAsia="ヒラギノ角ゴ Pro W3"/>
              </w:rPr>
              <w:t>Authority for the area in which the load</w:t>
            </w:r>
            <w:r>
              <w:rPr>
                <w:rFonts w:eastAsia="ヒラギノ角ゴ Pro W3"/>
              </w:rPr>
              <w:t>ing/unloading activity is occur</w:t>
            </w:r>
            <w:r w:rsidRPr="006A6920">
              <w:rPr>
                <w:rFonts w:eastAsia="ヒラギノ角ゴ Pro W3"/>
              </w:rPr>
              <w:t>ring resides with the container handling equipment operator.</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B6D065" w14:textId="65746938" w:rsidR="006E2E4C" w:rsidRPr="00D14EF6" w:rsidRDefault="006E2E4C" w:rsidP="006E2E4C">
            <w:pPr>
              <w:pStyle w:val="Body"/>
              <w:spacing w:before="60" w:after="60"/>
              <w:rPr>
                <w:rFonts w:ascii="Times New Roman" w:eastAsia="ヒラギノ角ゴ Pro W3" w:hAnsi="Times New Roman" w:cs="Times New Roman"/>
              </w:rPr>
            </w:pPr>
            <w:r>
              <w:rPr>
                <w:rFonts w:eastAsia="ヒラギノ角ゴ Pro W3"/>
              </w:rPr>
              <w:t xml:space="preserve">Container handling operations undertaken in </w:t>
            </w:r>
            <w:r w:rsidRPr="004C4FB3">
              <w:rPr>
                <w:rFonts w:eastAsia="ヒラギノ角ゴ Pro W3"/>
              </w:rPr>
              <w:t>locations as defined by the site Traffic Management Plan.</w:t>
            </w:r>
          </w:p>
        </w:tc>
      </w:tr>
      <w:tr w:rsidR="006E2E4C" w:rsidRPr="00EC2949" w14:paraId="23AE5B96" w14:textId="77777777" w:rsidTr="006E2E4C">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F10478" w14:textId="74EB1D4B" w:rsidR="006E2E4C" w:rsidRPr="00D14EF6" w:rsidRDefault="006E2E4C" w:rsidP="006E2E4C">
            <w:pPr>
              <w:pStyle w:val="Body"/>
              <w:spacing w:before="60" w:after="60"/>
              <w:rPr>
                <w:rFonts w:ascii="Times New Roman" w:eastAsia="ヒラギノ角ゴ Pro W3" w:hAnsi="Times New Roman" w:cs="Times New Roman"/>
              </w:rPr>
            </w:pPr>
            <w:r w:rsidRPr="008025FB">
              <w:rPr>
                <w:rFonts w:eastAsia="ヒラギノ角ゴ Pro W3"/>
              </w:rPr>
              <w:t xml:space="preserve">People required to operate </w:t>
            </w:r>
            <w:r>
              <w:rPr>
                <w:rFonts w:eastAsia="ヒラギノ角ゴ Pro W3"/>
              </w:rPr>
              <w:t xml:space="preserve">container handling equipment </w:t>
            </w:r>
            <w:r w:rsidRPr="008025FB">
              <w:rPr>
                <w:rFonts w:eastAsia="ヒラギノ角ゴ Pro W3"/>
              </w:rPr>
              <w:t>are trained and assessed as competent to industry standard</w:t>
            </w:r>
            <w:r>
              <w:rPr>
                <w:rFonts w:eastAsia="ヒラギノ角ゴ Pro W3"/>
              </w:rPr>
              <w:t xml:space="preserve">, </w:t>
            </w:r>
            <w:r w:rsidRPr="008025FB">
              <w:rPr>
                <w:rFonts w:eastAsia="ヒラギノ角ゴ Pro W3"/>
              </w:rPr>
              <w:t>licensed and listed in site register.</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455A83" w14:textId="4345A740" w:rsidR="006E2E4C" w:rsidRPr="00D14EF6" w:rsidRDefault="006E2E4C" w:rsidP="006E2E4C">
            <w:pPr>
              <w:pStyle w:val="Body"/>
              <w:spacing w:before="60" w:after="60"/>
              <w:rPr>
                <w:rFonts w:ascii="Helv" w:eastAsia="Arial Unicode MS" w:hAnsi="Helv" w:cs="Helv"/>
                <w:sz w:val="24"/>
                <w:szCs w:val="24"/>
                <w:lang w:eastAsia="en-AU"/>
              </w:rPr>
            </w:pPr>
            <w:r>
              <w:rPr>
                <w:rFonts w:eastAsia="ヒラギノ角ゴ Pro W3"/>
              </w:rPr>
              <w:t xml:space="preserve">Container handling yards are pedestrian exclusion zones. </w:t>
            </w:r>
            <w:r w:rsidRPr="008025FB">
              <w:rPr>
                <w:rFonts w:eastAsia="ヒラギノ角ゴ Pro W3"/>
              </w:rPr>
              <w:t>Pedest</w:t>
            </w:r>
            <w:r>
              <w:rPr>
                <w:rFonts w:eastAsia="ヒラギノ角ゴ Pro W3"/>
              </w:rPr>
              <w:t xml:space="preserve">rians keep out of areas where container forklifts or carriers are </w:t>
            </w:r>
            <w:r w:rsidRPr="008025FB">
              <w:rPr>
                <w:rFonts w:eastAsia="ヒラギノ角ゴ Pro W3"/>
              </w:rPr>
              <w:t>operating</w:t>
            </w:r>
            <w:r>
              <w:rPr>
                <w:rFonts w:eastAsia="ヒラギノ角ゴ Pro W3"/>
              </w:rPr>
              <w:t xml:space="preserve">. </w:t>
            </w:r>
            <w:r>
              <w:t xml:space="preserve"> </w:t>
            </w:r>
            <w:r w:rsidRPr="004B1034">
              <w:rPr>
                <w:rFonts w:eastAsia="ヒラギノ角ゴ Pro W3"/>
              </w:rPr>
              <w:t>Excl</w:t>
            </w:r>
            <w:r>
              <w:rPr>
                <w:rFonts w:eastAsia="ヒラギノ角ゴ Pro W3"/>
              </w:rPr>
              <w:t xml:space="preserve">usion zone identified with </w:t>
            </w:r>
            <w:r w:rsidRPr="004B1034">
              <w:rPr>
                <w:rFonts w:eastAsia="ヒラギノ角ゴ Pro W3"/>
              </w:rPr>
              <w:t>barriers &amp;</w:t>
            </w:r>
            <w:r>
              <w:rPr>
                <w:rFonts w:eastAsia="ヒラギノ角ゴ Pro W3"/>
              </w:rPr>
              <w:t>/or</w:t>
            </w:r>
            <w:r w:rsidRPr="004B1034">
              <w:rPr>
                <w:rFonts w:eastAsia="ヒラギノ角ゴ Pro W3"/>
              </w:rPr>
              <w:t xml:space="preserve"> signage.</w:t>
            </w:r>
            <w:r>
              <w:rPr>
                <w:rFonts w:eastAsia="ヒラギノ角ゴ Pro W3"/>
              </w:rPr>
              <w:t xml:space="preserve"> </w:t>
            </w:r>
            <w:r>
              <w:t xml:space="preserve"> </w:t>
            </w:r>
          </w:p>
        </w:tc>
      </w:tr>
      <w:tr w:rsidR="006E2E4C" w:rsidRPr="00EC2949" w14:paraId="0634144C" w14:textId="77777777" w:rsidTr="006E2E4C">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8654CD" w14:textId="3791F02C" w:rsidR="006E2E4C" w:rsidRPr="008025FB" w:rsidRDefault="006E2E4C" w:rsidP="006E2E4C">
            <w:pPr>
              <w:pStyle w:val="Body"/>
              <w:tabs>
                <w:tab w:val="left" w:pos="3129"/>
              </w:tabs>
              <w:spacing w:before="60" w:after="60"/>
              <w:rPr>
                <w:rFonts w:eastAsia="ヒラギノ角ゴ Pro W3"/>
              </w:rPr>
            </w:pPr>
            <w:r>
              <w:rPr>
                <w:rFonts w:eastAsia="ヒラギノ角ゴ Pro W3"/>
              </w:rPr>
              <w:t xml:space="preserve">Container handling equipment </w:t>
            </w:r>
            <w:r w:rsidRPr="008025FB">
              <w:rPr>
                <w:rFonts w:eastAsia="ヒラギノ角ゴ Pro W3"/>
              </w:rPr>
              <w:t>is specified and authorised for use.</w:t>
            </w:r>
            <w:r>
              <w:rPr>
                <w:rFonts w:eastAsia="ヒラギノ角ゴ Pro W3"/>
              </w:rPr>
              <w:t xml:space="preserve">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702479" w14:textId="55E95A6B" w:rsidR="006E2E4C" w:rsidRPr="006E2E4C" w:rsidRDefault="006E2E4C" w:rsidP="006E2E4C">
            <w:pPr>
              <w:tabs>
                <w:tab w:val="left" w:pos="2901"/>
              </w:tabs>
              <w:rPr>
                <w:lang w:val="en-GB" w:eastAsia="en-GB"/>
              </w:rPr>
            </w:pPr>
            <w:r w:rsidRPr="008025FB">
              <w:rPr>
                <w:rFonts w:eastAsia="ヒラギノ角ゴ Pro W3"/>
              </w:rPr>
              <w:t xml:space="preserve">No personnel permitted under suspended loads. Exclusion zones under and in the path of lifting operations </w:t>
            </w:r>
            <w:r>
              <w:rPr>
                <w:rFonts w:eastAsia="ヒラギノ角ゴ Pro W3"/>
              </w:rPr>
              <w:t xml:space="preserve">is </w:t>
            </w:r>
            <w:r w:rsidRPr="008025FB">
              <w:rPr>
                <w:rFonts w:eastAsia="ヒラギノ角ゴ Pro W3"/>
              </w:rPr>
              <w:t>controlled to prevent acce</w:t>
            </w:r>
            <w:r>
              <w:rPr>
                <w:rFonts w:eastAsia="ヒラギノ角ゴ Pro W3"/>
              </w:rPr>
              <w:t xml:space="preserve">ss e.g. by </w:t>
            </w:r>
            <w:r w:rsidRPr="008025FB">
              <w:rPr>
                <w:rFonts w:eastAsia="ヒラギノ角ゴ Pro W3"/>
              </w:rPr>
              <w:t>signage, barriers or spotters.</w:t>
            </w:r>
          </w:p>
        </w:tc>
      </w:tr>
      <w:tr w:rsidR="006E2E4C" w:rsidRPr="00EC2949" w14:paraId="57C81353" w14:textId="77777777" w:rsidTr="006E2E4C">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8FB6BF" w14:textId="7087D31F" w:rsidR="006E2E4C" w:rsidRPr="008025FB" w:rsidRDefault="006E2E4C" w:rsidP="006E2E4C">
            <w:pPr>
              <w:pStyle w:val="Body"/>
              <w:spacing w:before="60" w:after="60"/>
              <w:rPr>
                <w:rFonts w:eastAsia="ヒラギノ角ゴ Pro W3"/>
              </w:rPr>
            </w:pPr>
            <w:r w:rsidRPr="00303677">
              <w:rPr>
                <w:rFonts w:eastAsia="ヒラギノ角ゴ Pro W3"/>
              </w:rPr>
              <w:t xml:space="preserve">When operating a </w:t>
            </w:r>
            <w:proofErr w:type="spellStart"/>
            <w:r w:rsidRPr="00303677">
              <w:rPr>
                <w:rFonts w:eastAsia="ヒラギノ角ゴ Pro W3"/>
              </w:rPr>
              <w:t>sideloader</w:t>
            </w:r>
            <w:proofErr w:type="spellEnd"/>
            <w:r w:rsidRPr="00303677">
              <w:rPr>
                <w:rFonts w:eastAsia="ヒラギノ角ゴ Pro W3"/>
              </w:rPr>
              <w:t xml:space="preserve"> a 3m pedestrian exclusion zone </w:t>
            </w:r>
            <w:r w:rsidRPr="00303677">
              <w:rPr>
                <w:rFonts w:eastAsia="ヒラギノ角ゴ Pro W3"/>
              </w:rPr>
              <w:t>(excluding</w:t>
            </w:r>
            <w:r w:rsidRPr="00303677">
              <w:rPr>
                <w:rFonts w:eastAsia="ヒラギノ角ゴ Pro W3"/>
              </w:rPr>
              <w:t xml:space="preserve"> the </w:t>
            </w:r>
            <w:proofErr w:type="spellStart"/>
            <w:r w:rsidRPr="00303677">
              <w:rPr>
                <w:rFonts w:eastAsia="ヒラギノ角ゴ Pro W3"/>
              </w:rPr>
              <w:t>sidelifter</w:t>
            </w:r>
            <w:proofErr w:type="spellEnd"/>
            <w:r w:rsidRPr="00303677">
              <w:rPr>
                <w:rFonts w:eastAsia="ヒラギノ角ゴ Pro W3"/>
              </w:rPr>
              <w:t xml:space="preserve"> operator) in implemented around the operation when loading/ unloading the container onto/ off a trailer</w:t>
            </w:r>
            <w:r>
              <w:rPr>
                <w:rFonts w:eastAsia="ヒラギノ角ゴ Pro W3"/>
              </w:rPr>
              <w:t>.</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62C263" w14:textId="3FF7DBFC" w:rsidR="006E2E4C" w:rsidRPr="006E2E4C" w:rsidRDefault="006E2E4C" w:rsidP="006E2E4C">
            <w:pPr>
              <w:rPr>
                <w:lang w:val="en-GB" w:eastAsia="en-GB"/>
              </w:rPr>
            </w:pPr>
            <w:r w:rsidRPr="0091193D">
              <w:rPr>
                <w:rFonts w:eastAsia="ヒラギノ角ゴ Pro W3"/>
              </w:rPr>
              <w:t xml:space="preserve">For </w:t>
            </w:r>
            <w:proofErr w:type="spellStart"/>
            <w:r w:rsidRPr="0091193D">
              <w:rPr>
                <w:rFonts w:eastAsia="ヒラギノ角ゴ Pro W3"/>
              </w:rPr>
              <w:t>sideloaders</w:t>
            </w:r>
            <w:proofErr w:type="spellEnd"/>
            <w:r w:rsidRPr="0091193D">
              <w:rPr>
                <w:rFonts w:eastAsia="ヒラギノ角ゴ Pro W3"/>
              </w:rPr>
              <w:t xml:space="preserve"> loads </w:t>
            </w:r>
            <w:r>
              <w:rPr>
                <w:rFonts w:eastAsia="ヒラギノ角ゴ Pro W3"/>
              </w:rPr>
              <w:t xml:space="preserve">is </w:t>
            </w:r>
            <w:r w:rsidRPr="0091193D">
              <w:rPr>
                <w:rFonts w:eastAsia="ヒラギノ角ゴ Pro W3"/>
              </w:rPr>
              <w:t xml:space="preserve">strictly within the dimensions and weight capacity limits as detailed on the rating plate of the side loader and </w:t>
            </w:r>
            <w:r>
              <w:rPr>
                <w:rFonts w:eastAsia="ヒラギノ角ゴ Pro W3"/>
              </w:rPr>
              <w:t xml:space="preserve">is </w:t>
            </w:r>
            <w:r w:rsidRPr="0091193D">
              <w:rPr>
                <w:rFonts w:eastAsia="ヒラギノ角ゴ Pro W3"/>
              </w:rPr>
              <w:t>within the dimensional limits of the deck.</w:t>
            </w:r>
          </w:p>
        </w:tc>
      </w:tr>
      <w:tr w:rsidR="006E2E4C" w:rsidRPr="00EC2949" w14:paraId="2D1AFFCC" w14:textId="77777777" w:rsidTr="006E2E4C">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9A3C4F" w14:textId="352953C5" w:rsidR="006E2E4C" w:rsidRPr="008025FB" w:rsidRDefault="006E2E4C" w:rsidP="006E2E4C">
            <w:pPr>
              <w:pStyle w:val="Body"/>
              <w:spacing w:before="60" w:after="60"/>
              <w:rPr>
                <w:rFonts w:eastAsia="ヒラギノ角ゴ Pro W3"/>
              </w:rPr>
            </w:pPr>
            <w:r>
              <w:rPr>
                <w:rFonts w:eastAsia="ヒラギノ角ゴ Pro W3"/>
              </w:rPr>
              <w:t>C</w:t>
            </w:r>
            <w:r w:rsidRPr="00EB36D4">
              <w:rPr>
                <w:rFonts w:eastAsia="ヒラギノ角ゴ Pro W3"/>
              </w:rPr>
              <w:t>ontainer handling equipment (</w:t>
            </w:r>
            <w:proofErr w:type="spellStart"/>
            <w:r w:rsidRPr="00EB36D4">
              <w:rPr>
                <w:rFonts w:eastAsia="ヒラギノ角ゴ Pro W3"/>
              </w:rPr>
              <w:t>incl</w:t>
            </w:r>
            <w:proofErr w:type="spellEnd"/>
            <w:r w:rsidRPr="00EB36D4">
              <w:rPr>
                <w:rFonts w:eastAsia="ヒラギノ角ゴ Pro W3"/>
              </w:rPr>
              <w:t>: top lift spreader)</w:t>
            </w:r>
            <w:r>
              <w:rPr>
                <w:rFonts w:eastAsia="ヒラギノ角ゴ Pro W3"/>
              </w:rPr>
              <w:t xml:space="preserve"> subject to planned maintenance and inspection program. </w:t>
            </w:r>
            <w:r w:rsidRPr="00EB36D4">
              <w:rPr>
                <w:rFonts w:eastAsia="ヒラギノ角ゴ Pro W3"/>
              </w:rPr>
              <w:t>Lifting sets inspected, examined and tested, by an inspection body in accordance with applicable standards</w:t>
            </w:r>
            <w:r>
              <w:rPr>
                <w:rFonts w:eastAsia="ヒラギノ角ゴ Pro W3"/>
              </w:rPr>
              <w:t xml:space="preserve">.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085E6C" w14:textId="77777777" w:rsidR="006E2E4C" w:rsidRDefault="006E2E4C" w:rsidP="006E2E4C">
            <w:pPr>
              <w:pStyle w:val="Body"/>
              <w:spacing w:before="60" w:after="60"/>
              <w:rPr>
                <w:rFonts w:eastAsia="ヒラギノ角ゴ Pro W3"/>
              </w:rPr>
            </w:pPr>
          </w:p>
        </w:tc>
      </w:tr>
    </w:tbl>
    <w:p w14:paraId="7FC6F403" w14:textId="77777777" w:rsidR="00D50914" w:rsidRPr="00EC2949" w:rsidRDefault="00D46567">
      <w:pPr>
        <w:pStyle w:val="Heading2"/>
        <w:numPr>
          <w:ilvl w:val="0"/>
          <w:numId w:val="3"/>
        </w:numPr>
        <w:rPr>
          <w:rFonts w:cs="Arial"/>
          <w:lang w:val="en-AU"/>
        </w:rPr>
      </w:pPr>
      <w:r w:rsidRPr="00EC2949">
        <w:rPr>
          <w:rFonts w:cs="Arial"/>
          <w:lang w:val="en-AU"/>
        </w:rPr>
        <w:t>Utilisation</w:t>
      </w:r>
    </w:p>
    <w:p w14:paraId="005D99FF" w14:textId="694EBC85" w:rsidR="00D14EF6" w:rsidRPr="00D14EF6" w:rsidRDefault="006E2E4C" w:rsidP="00D14EF6">
      <w:pPr>
        <w:pStyle w:val="Body"/>
        <w:spacing w:before="60"/>
        <w:ind w:left="425"/>
      </w:pPr>
      <w:r w:rsidRPr="006A6920">
        <w:t xml:space="preserve">The side loader </w:t>
      </w:r>
      <w:r>
        <w:t>is a flat</w:t>
      </w:r>
      <w:r w:rsidRPr="006A6920">
        <w:t>bed trailer,</w:t>
      </w:r>
      <w:r>
        <w:t xml:space="preserve"> fitted</w:t>
      </w:r>
      <w:r w:rsidRPr="006A6920">
        <w:t xml:space="preserve"> with two crane mechanisms which are placed on each end of the trailer chassis. </w:t>
      </w:r>
      <w:r>
        <w:t>A s</w:t>
      </w:r>
      <w:r w:rsidRPr="006A6920">
        <w:t>ide loader trailer is specifically designed for transportation of cargo containers. The two lifting mechanisms on each end, allow the driver or operator to lift and place a standard ISO container on the trailer. The hydraulic cranes are designed to pick up containers directly from the ground</w:t>
      </w:r>
      <w:r>
        <w:t xml:space="preserve"> </w:t>
      </w:r>
      <w:r w:rsidRPr="006A6920">
        <w:t xml:space="preserve">or from other vehicles where the containers are placed. </w:t>
      </w:r>
      <w:r>
        <w:t>T</w:t>
      </w:r>
      <w:r w:rsidRPr="006A6920">
        <w:t xml:space="preserve">he side loader trailer is also known as </w:t>
      </w:r>
      <w:proofErr w:type="spellStart"/>
      <w:r>
        <w:t>sidelifter</w:t>
      </w:r>
      <w:proofErr w:type="spellEnd"/>
      <w:r>
        <w:t xml:space="preserve">, </w:t>
      </w:r>
      <w:r w:rsidRPr="006A6920">
        <w:t>self-loading</w:t>
      </w:r>
      <w:r w:rsidRPr="006A6920">
        <w:t xml:space="preserve"> trailer or </w:t>
      </w:r>
      <w:r w:rsidRPr="006A6920">
        <w:t>self-loading</w:t>
      </w:r>
      <w:r w:rsidRPr="006A6920">
        <w:t xml:space="preserve"> </w:t>
      </w:r>
      <w:r w:rsidRPr="006A6920">
        <w:t xml:space="preserve">truck, </w:t>
      </w:r>
      <w:proofErr w:type="spellStart"/>
      <w:r w:rsidRPr="006A6920">
        <w:t>swinglifter</w:t>
      </w:r>
      <w:proofErr w:type="spellEnd"/>
      <w:r w:rsidRPr="006A6920">
        <w:t xml:space="preserve">, </w:t>
      </w:r>
      <w:proofErr w:type="spellStart"/>
      <w:r w:rsidRPr="006A6920">
        <w:t>boxmover</w:t>
      </w:r>
      <w:proofErr w:type="spellEnd"/>
      <w:r w:rsidRPr="006A6920">
        <w:t>, container picker, and many other alternative names</w:t>
      </w:r>
      <w:r w:rsidR="00D14EF6" w:rsidRPr="00D14EF6">
        <w:t>.</w:t>
      </w:r>
    </w:p>
    <w:p w14:paraId="2FCDE557" w14:textId="77777777" w:rsidR="00D50914" w:rsidRPr="00EC2949" w:rsidRDefault="00D46567">
      <w:pPr>
        <w:pStyle w:val="Heading2"/>
        <w:numPr>
          <w:ilvl w:val="0"/>
          <w:numId w:val="3"/>
        </w:numPr>
        <w:rPr>
          <w:rFonts w:cs="Arial"/>
          <w:color w:val="000000" w:themeColor="text1"/>
          <w:lang w:val="en-AU"/>
        </w:rPr>
      </w:pPr>
      <w:r w:rsidRPr="00EC2949">
        <w:rPr>
          <w:rFonts w:cs="Arial"/>
          <w:color w:val="000000" w:themeColor="text1"/>
          <w:lang w:val="en-AU"/>
        </w:rPr>
        <w:lastRenderedPageBreak/>
        <w:t>Safety Critical Defeat Requirements</w:t>
      </w:r>
    </w:p>
    <w:p w14:paraId="68289BC6" w14:textId="77777777" w:rsidR="006E2E4C" w:rsidRDefault="006E2E4C" w:rsidP="006E2E4C">
      <w:pPr>
        <w:pStyle w:val="Body"/>
        <w:spacing w:before="60"/>
        <w:ind w:left="425"/>
      </w:pPr>
      <w:r>
        <w:t xml:space="preserve">For one-off activities in areas with potential for pedestrian interaction and no barriers or protection systems are in place additional spotters and signage is required. </w:t>
      </w:r>
    </w:p>
    <w:p w14:paraId="3854C3FD" w14:textId="78ECE8B2" w:rsidR="00CB5123" w:rsidRDefault="006E2E4C" w:rsidP="006E2E4C">
      <w:pPr>
        <w:pStyle w:val="Body"/>
        <w:spacing w:before="60"/>
        <w:ind w:left="425"/>
      </w:pPr>
      <w:r>
        <w:t>For duration of one-off activity</w:t>
      </w:r>
      <w:r w:rsidR="00CB5123">
        <w:t>.</w:t>
      </w:r>
    </w:p>
    <w:p w14:paraId="2CEEF942" w14:textId="77777777" w:rsidR="00D50914" w:rsidRPr="00EC2949" w:rsidRDefault="00D46567">
      <w:pPr>
        <w:pStyle w:val="Heading2"/>
        <w:numPr>
          <w:ilvl w:val="0"/>
          <w:numId w:val="3"/>
        </w:numPr>
        <w:rPr>
          <w:rFonts w:cs="Arial"/>
          <w:lang w:val="en-AU"/>
        </w:rPr>
      </w:pPr>
      <w:r w:rsidRPr="00EC2949">
        <w:rPr>
          <w:rFonts w:cs="Arial"/>
          <w:lang w:val="en-AU"/>
        </w:rPr>
        <w:t>Testing &amp; Verification</w:t>
      </w:r>
    </w:p>
    <w:p w14:paraId="6D3D7E67" w14:textId="77777777" w:rsidR="006E2E4C" w:rsidRPr="006E2E4C" w:rsidRDefault="006E2E4C" w:rsidP="006E2E4C">
      <w:pPr>
        <w:pStyle w:val="Body"/>
        <w:spacing w:before="60"/>
        <w:ind w:left="425"/>
        <w:rPr>
          <w:rFonts w:ascii="Helv" w:hAnsi="Helv" w:cs="Helv"/>
          <w:lang w:eastAsia="en-AU"/>
        </w:rPr>
      </w:pPr>
      <w:r w:rsidRPr="006E2E4C">
        <w:rPr>
          <w:rFonts w:ascii="Helv" w:hAnsi="Helv" w:cs="Helv"/>
          <w:lang w:eastAsia="en-AU"/>
        </w:rPr>
        <w:t xml:space="preserve">Lifting equipment and </w:t>
      </w:r>
      <w:proofErr w:type="spellStart"/>
      <w:r w:rsidRPr="006E2E4C">
        <w:rPr>
          <w:rFonts w:ascii="Helv" w:hAnsi="Helv" w:cs="Helv"/>
          <w:lang w:eastAsia="en-AU"/>
        </w:rPr>
        <w:t>sideloaders</w:t>
      </w:r>
      <w:proofErr w:type="spellEnd"/>
      <w:r w:rsidRPr="006E2E4C">
        <w:rPr>
          <w:rFonts w:ascii="Helv" w:hAnsi="Helv" w:cs="Helv"/>
          <w:lang w:eastAsia="en-AU"/>
        </w:rPr>
        <w:t xml:space="preserve"> safety and operational condition checked and recorded before use, at least once per day, e.g. a pre-start inspection.</w:t>
      </w:r>
    </w:p>
    <w:p w14:paraId="6B2716BF" w14:textId="77777777" w:rsidR="006E2E4C" w:rsidRPr="006E2E4C" w:rsidRDefault="006E2E4C" w:rsidP="006E2E4C">
      <w:pPr>
        <w:pStyle w:val="Body"/>
        <w:spacing w:before="60"/>
        <w:ind w:left="425"/>
        <w:rPr>
          <w:rFonts w:ascii="Helv" w:hAnsi="Helv" w:cs="Helv"/>
          <w:lang w:eastAsia="en-AU"/>
        </w:rPr>
      </w:pPr>
      <w:r w:rsidRPr="006E2E4C">
        <w:rPr>
          <w:rFonts w:ascii="Helv" w:hAnsi="Helv" w:cs="Helv"/>
          <w:lang w:eastAsia="en-AU"/>
        </w:rPr>
        <w:t>Pre-operational checks are conducted on the side lifter, lifting assemblies, specialist lifting equipment, and ancillary equipment (if fitted) for serviceability and suitability for the task and readiness for operation</w:t>
      </w:r>
    </w:p>
    <w:p w14:paraId="7847C856" w14:textId="77777777" w:rsidR="006E2E4C" w:rsidRDefault="006E2E4C" w:rsidP="006E2E4C">
      <w:pPr>
        <w:pStyle w:val="Body"/>
        <w:spacing w:before="60"/>
        <w:ind w:left="425"/>
        <w:rPr>
          <w:rFonts w:ascii="Helv" w:hAnsi="Helv" w:cs="Helv"/>
          <w:lang w:eastAsia="en-AU"/>
        </w:rPr>
      </w:pPr>
      <w:r w:rsidRPr="006E2E4C">
        <w:rPr>
          <w:rFonts w:ascii="Helv" w:hAnsi="Helv" w:cs="Helv"/>
          <w:lang w:eastAsia="en-AU"/>
        </w:rPr>
        <w:t xml:space="preserve">At least every 6 months Supervisor to:  </w:t>
      </w:r>
    </w:p>
    <w:p w14:paraId="774181BF" w14:textId="21720EF2" w:rsidR="006E2E4C" w:rsidRDefault="006E2E4C" w:rsidP="00695EB7">
      <w:pPr>
        <w:pStyle w:val="Body"/>
        <w:numPr>
          <w:ilvl w:val="0"/>
          <w:numId w:val="7"/>
        </w:numPr>
        <w:spacing w:before="60"/>
        <w:rPr>
          <w:rFonts w:ascii="Helv" w:hAnsi="Helv" w:cs="Helv"/>
          <w:lang w:eastAsia="en-AU"/>
        </w:rPr>
      </w:pPr>
      <w:r w:rsidRPr="006E2E4C">
        <w:rPr>
          <w:rFonts w:ascii="Helv" w:hAnsi="Helv" w:cs="Helv"/>
          <w:lang w:eastAsia="en-AU"/>
        </w:rPr>
        <w:t>verify crane operators are competent and licensed</w:t>
      </w:r>
    </w:p>
    <w:p w14:paraId="21907866" w14:textId="2FB43015" w:rsidR="006E2E4C" w:rsidRDefault="006E2E4C" w:rsidP="00695EB7">
      <w:pPr>
        <w:pStyle w:val="Body"/>
        <w:numPr>
          <w:ilvl w:val="0"/>
          <w:numId w:val="7"/>
        </w:numPr>
        <w:spacing w:before="60"/>
        <w:rPr>
          <w:rFonts w:ascii="Helv" w:hAnsi="Helv" w:cs="Helv"/>
          <w:lang w:eastAsia="en-AU"/>
        </w:rPr>
      </w:pPr>
      <w:r w:rsidRPr="006E2E4C">
        <w:rPr>
          <w:rFonts w:ascii="Helv" w:hAnsi="Helv" w:cs="Helv"/>
          <w:lang w:eastAsia="en-AU"/>
        </w:rPr>
        <w:t>verify personnel slinging and guiding loads are competent and licensed</w:t>
      </w:r>
    </w:p>
    <w:p w14:paraId="14022C94" w14:textId="44879CA0" w:rsidR="006E2E4C" w:rsidRPr="006E2E4C" w:rsidRDefault="006E2E4C" w:rsidP="00695EB7">
      <w:pPr>
        <w:pStyle w:val="Body"/>
        <w:numPr>
          <w:ilvl w:val="0"/>
          <w:numId w:val="7"/>
        </w:numPr>
        <w:spacing w:before="60"/>
        <w:rPr>
          <w:rFonts w:ascii="Helv" w:hAnsi="Helv" w:cs="Helv"/>
          <w:lang w:eastAsia="en-AU"/>
        </w:rPr>
      </w:pPr>
      <w:r w:rsidRPr="006E2E4C">
        <w:rPr>
          <w:rFonts w:ascii="Helv" w:hAnsi="Helv" w:cs="Helv"/>
          <w:lang w:eastAsia="en-AU"/>
        </w:rPr>
        <w:t xml:space="preserve">check inspection status of lifting equipment in site register. </w:t>
      </w:r>
    </w:p>
    <w:p w14:paraId="3274D753" w14:textId="294399DA" w:rsidR="006E2E4C" w:rsidRPr="006E2E4C" w:rsidRDefault="006E2E4C" w:rsidP="006E2E4C">
      <w:pPr>
        <w:pStyle w:val="Body"/>
        <w:spacing w:before="60"/>
        <w:ind w:left="425"/>
        <w:rPr>
          <w:rFonts w:ascii="Helv" w:hAnsi="Helv" w:cs="Helv"/>
          <w:lang w:eastAsia="en-AU"/>
        </w:rPr>
      </w:pPr>
      <w:r w:rsidRPr="006E2E4C">
        <w:rPr>
          <w:rFonts w:ascii="Helv" w:hAnsi="Helv" w:cs="Helv"/>
          <w:lang w:eastAsia="en-AU"/>
        </w:rPr>
        <w:t xml:space="preserve">External </w:t>
      </w:r>
      <w:r w:rsidRPr="006E2E4C">
        <w:rPr>
          <w:rFonts w:ascii="Helv" w:hAnsi="Helv" w:cs="Helv"/>
          <w:lang w:eastAsia="en-AU"/>
        </w:rPr>
        <w:t>third-party</w:t>
      </w:r>
      <w:r w:rsidRPr="006E2E4C">
        <w:rPr>
          <w:rFonts w:ascii="Helv" w:hAnsi="Helv" w:cs="Helv"/>
          <w:lang w:eastAsia="en-AU"/>
        </w:rPr>
        <w:t xml:space="preserve"> inspections of lifting equipment including statutory certification as required by local regulations.</w:t>
      </w:r>
    </w:p>
    <w:p w14:paraId="66A2DA80" w14:textId="77777777" w:rsidR="006E2E4C" w:rsidRDefault="006E2E4C" w:rsidP="006E2E4C">
      <w:pPr>
        <w:pStyle w:val="Body"/>
        <w:spacing w:before="60"/>
        <w:ind w:left="425"/>
        <w:rPr>
          <w:rFonts w:ascii="Helv" w:hAnsi="Helv" w:cs="Helv"/>
          <w:lang w:eastAsia="en-AU"/>
        </w:rPr>
      </w:pPr>
      <w:r w:rsidRPr="006E2E4C">
        <w:rPr>
          <w:rFonts w:ascii="Helv" w:hAnsi="Helv" w:cs="Helv"/>
          <w:lang w:eastAsia="en-AU"/>
        </w:rPr>
        <w:t>Container lifting sets inspected, examined and tested, by an inspection body in accordance with applicable standards</w:t>
      </w:r>
      <w:r>
        <w:rPr>
          <w:rFonts w:ascii="Helv" w:hAnsi="Helv" w:cs="Helv"/>
          <w:lang w:eastAsia="en-AU"/>
        </w:rPr>
        <w:t>.</w:t>
      </w:r>
    </w:p>
    <w:p w14:paraId="78674CF1" w14:textId="77777777" w:rsidR="00D50914" w:rsidRPr="00EC2949" w:rsidRDefault="00D46567">
      <w:pPr>
        <w:pStyle w:val="Heading2"/>
        <w:numPr>
          <w:ilvl w:val="0"/>
          <w:numId w:val="3"/>
        </w:numPr>
        <w:rPr>
          <w:rFonts w:cs="Arial"/>
          <w:lang w:val="en-AU"/>
        </w:rPr>
      </w:pPr>
      <w:r w:rsidRPr="00EC2949">
        <w:rPr>
          <w:rFonts w:cs="Arial"/>
          <w:lang w:val="en-AU"/>
        </w:rPr>
        <w:t>Maintenance</w:t>
      </w:r>
    </w:p>
    <w:p w14:paraId="62C399B2" w14:textId="187A05A0" w:rsidR="006E2E4C" w:rsidRPr="006E2E4C" w:rsidRDefault="006E2E4C" w:rsidP="006E2E4C">
      <w:pPr>
        <w:pStyle w:val="Body"/>
        <w:spacing w:before="60"/>
        <w:ind w:left="425"/>
      </w:pPr>
      <w:r w:rsidRPr="006E2E4C">
        <w:t>Container handling equipment is maintained and inspected according to the manufacturer’s specifications by qualified and trained personnel to ensure its integrity. The person nominated to carry out checks must be an experienced, fully trained, and competent person. The competent person may be a third</w:t>
      </w:r>
      <w:r>
        <w:t>-</w:t>
      </w:r>
      <w:r w:rsidRPr="006E2E4C">
        <w:t xml:space="preserve">party specialist or a company employee who has received appropriate training and has appropriate experience which enables him to act as a competent person for the certification of the equipment. In harsh operating environments </w:t>
      </w:r>
      <w:proofErr w:type="gramStart"/>
      <w:r w:rsidRPr="006E2E4C">
        <w:t>more</w:t>
      </w:r>
      <w:proofErr w:type="gramEnd"/>
      <w:r w:rsidRPr="006E2E4C">
        <w:t xml:space="preserve"> frequent servicing maybe required. </w:t>
      </w:r>
    </w:p>
    <w:p w14:paraId="04EC1E0E" w14:textId="77777777" w:rsidR="006E2E4C" w:rsidRPr="006E2E4C" w:rsidRDefault="006E2E4C" w:rsidP="006E2E4C">
      <w:pPr>
        <w:pStyle w:val="Body"/>
        <w:spacing w:before="60"/>
        <w:ind w:left="425"/>
      </w:pPr>
      <w:r w:rsidRPr="006E2E4C">
        <w:t>System for planned maintenance and inspection of container handling equipment (</w:t>
      </w:r>
      <w:proofErr w:type="spellStart"/>
      <w:r w:rsidRPr="006E2E4C">
        <w:t>incl</w:t>
      </w:r>
      <w:proofErr w:type="spellEnd"/>
      <w:r w:rsidRPr="006E2E4C">
        <w:t xml:space="preserve">: top lift spreader). </w:t>
      </w:r>
    </w:p>
    <w:p w14:paraId="7149B123" w14:textId="72C31EAF" w:rsidR="006E2E4C" w:rsidRPr="006E2E4C" w:rsidRDefault="006E2E4C" w:rsidP="006E2E4C">
      <w:pPr>
        <w:pStyle w:val="Body"/>
        <w:spacing w:before="60"/>
        <w:ind w:left="425"/>
      </w:pPr>
      <w:r w:rsidRPr="006E2E4C">
        <w:t xml:space="preserve">Auxiliary lifting equipment/ gear maintained according to the manufacturer’s specifications by suitably qualified and trained person including external </w:t>
      </w:r>
      <w:r w:rsidRPr="006E2E4C">
        <w:t>third-party</w:t>
      </w:r>
      <w:r w:rsidRPr="006E2E4C">
        <w:t xml:space="preserve"> inspections. In harsh operating environments </w:t>
      </w:r>
      <w:proofErr w:type="gramStart"/>
      <w:r w:rsidRPr="006E2E4C">
        <w:t>more</w:t>
      </w:r>
      <w:proofErr w:type="gramEnd"/>
      <w:r w:rsidRPr="006E2E4C">
        <w:t xml:space="preserve"> frequent servicing maybe required. </w:t>
      </w:r>
    </w:p>
    <w:p w14:paraId="331D7271" w14:textId="77777777" w:rsidR="006E2E4C" w:rsidRPr="006E2E4C" w:rsidRDefault="006E2E4C" w:rsidP="006E2E4C">
      <w:pPr>
        <w:pStyle w:val="Body"/>
        <w:spacing w:before="60"/>
        <w:ind w:left="425"/>
      </w:pPr>
      <w:r w:rsidRPr="006E2E4C">
        <w:t>Auxiliary lifting gear must be inspected annually.</w:t>
      </w:r>
    </w:p>
    <w:p w14:paraId="78D49748" w14:textId="77777777" w:rsidR="006E2E4C" w:rsidRDefault="006E2E4C" w:rsidP="006E2E4C">
      <w:pPr>
        <w:pStyle w:val="Body"/>
        <w:spacing w:before="60"/>
        <w:ind w:left="425"/>
      </w:pPr>
      <w:r>
        <w:t>OTML</w:t>
      </w:r>
      <w:r w:rsidRPr="006E2E4C">
        <w:t>-owned Lifting Equipment must be:</w:t>
      </w:r>
    </w:p>
    <w:p w14:paraId="48714C44" w14:textId="77777777" w:rsidR="006E2E4C" w:rsidRDefault="006E2E4C" w:rsidP="00695EB7">
      <w:pPr>
        <w:pStyle w:val="Body"/>
        <w:numPr>
          <w:ilvl w:val="0"/>
          <w:numId w:val="8"/>
        </w:numPr>
        <w:spacing w:before="60"/>
      </w:pPr>
      <w:r w:rsidRPr="006E2E4C">
        <w:t>uniquely identified;</w:t>
      </w:r>
    </w:p>
    <w:p w14:paraId="4213B1A4" w14:textId="77777777" w:rsidR="006E2E4C" w:rsidRDefault="006E2E4C" w:rsidP="00695EB7">
      <w:pPr>
        <w:pStyle w:val="Body"/>
        <w:numPr>
          <w:ilvl w:val="0"/>
          <w:numId w:val="8"/>
        </w:numPr>
        <w:spacing w:before="60"/>
      </w:pPr>
      <w:r w:rsidRPr="006E2E4C">
        <w:t>marked or coded to identify its inspection status or when it is next due for inspection;</w:t>
      </w:r>
    </w:p>
    <w:p w14:paraId="6F4D5D4C" w14:textId="48FD8CE9" w:rsidR="006E2E4C" w:rsidRPr="006E2E4C" w:rsidRDefault="006E2E4C" w:rsidP="00695EB7">
      <w:pPr>
        <w:pStyle w:val="Body"/>
        <w:numPr>
          <w:ilvl w:val="0"/>
          <w:numId w:val="8"/>
        </w:numPr>
        <w:spacing w:before="60"/>
      </w:pPr>
      <w:r w:rsidRPr="006E2E4C">
        <w:t>listed in a register.</w:t>
      </w:r>
    </w:p>
    <w:p w14:paraId="06010CBF" w14:textId="77777777" w:rsidR="006E2E4C" w:rsidRPr="006E2E4C" w:rsidRDefault="006E2E4C" w:rsidP="006E2E4C">
      <w:pPr>
        <w:pStyle w:val="Body"/>
        <w:spacing w:before="60"/>
        <w:ind w:left="425"/>
      </w:pPr>
      <w:r w:rsidRPr="006E2E4C">
        <w:lastRenderedPageBreak/>
        <w:t>Records of maintenance of container handling equipment and auxiliary lifting equipment/ gear must be kept. Damaged equipment must be removed from service.</w:t>
      </w:r>
    </w:p>
    <w:p w14:paraId="06314256" w14:textId="7152B0A8" w:rsidR="006349F0" w:rsidRPr="00EC2949" w:rsidRDefault="006E2E4C" w:rsidP="006E2E4C">
      <w:pPr>
        <w:pStyle w:val="Body"/>
        <w:spacing w:before="60"/>
        <w:ind w:left="425"/>
      </w:pPr>
      <w:r w:rsidRPr="006E2E4C">
        <w:t>Maintain and repair surfaces container handling equipment is operating on to ensure they are even and in good condition</w:t>
      </w:r>
      <w:r w:rsidR="006349F0" w:rsidRPr="00EC2949">
        <w:t>.</w:t>
      </w:r>
    </w:p>
    <w:p w14:paraId="4518E336" w14:textId="77777777" w:rsidR="00D50914" w:rsidRPr="00EC2949" w:rsidRDefault="00D46567">
      <w:pPr>
        <w:pStyle w:val="Heading2"/>
        <w:numPr>
          <w:ilvl w:val="0"/>
          <w:numId w:val="3"/>
        </w:numPr>
        <w:rPr>
          <w:rFonts w:cs="Arial"/>
          <w:lang w:val="en-AU"/>
        </w:rPr>
      </w:pPr>
      <w:r w:rsidRPr="00EC2949">
        <w:rPr>
          <w:rFonts w:cs="Arial"/>
          <w:lang w:val="en-AU"/>
        </w:rPr>
        <w:t>Training &amp; Competency</w:t>
      </w:r>
    </w:p>
    <w:p w14:paraId="0EE81A26" w14:textId="425CE65B" w:rsidR="00F13A01" w:rsidRPr="00F13A01" w:rsidRDefault="006E2E4C" w:rsidP="006E2E4C">
      <w:pPr>
        <w:pStyle w:val="Body"/>
        <w:spacing w:before="60"/>
        <w:ind w:left="425"/>
      </w:pPr>
      <w:r>
        <w:t>Employees and contractors operating container handling equipment must be authorised as competent and, as required, licensed.</w:t>
      </w:r>
      <w:r w:rsidRPr="00455FD4">
        <w:t xml:space="preserve"> Personnel trained and assessed in safe operation of container handling equipment</w:t>
      </w:r>
      <w:r w:rsidR="00F13A01" w:rsidRPr="00F13A01">
        <w:t>.</w:t>
      </w:r>
    </w:p>
    <w:p w14:paraId="793FCB10" w14:textId="3FCFB14B" w:rsidR="00F13A01" w:rsidRPr="00F13A01" w:rsidRDefault="006E2E4C" w:rsidP="00F13A01">
      <w:pPr>
        <w:pStyle w:val="Body"/>
        <w:spacing w:before="60"/>
        <w:ind w:left="425"/>
      </w:pPr>
      <w:r>
        <w:t>O</w:t>
      </w:r>
      <w:r w:rsidR="00F13A01" w:rsidRPr="00F13A01">
        <w:t xml:space="preserve">perators must be trained on the type of equipment they operate including: </w:t>
      </w:r>
    </w:p>
    <w:p w14:paraId="1F5E2BE9" w14:textId="77777777" w:rsidR="00F13A01" w:rsidRPr="00F13A01" w:rsidRDefault="00F13A01" w:rsidP="00695EB7">
      <w:pPr>
        <w:pStyle w:val="Body"/>
        <w:numPr>
          <w:ilvl w:val="0"/>
          <w:numId w:val="6"/>
        </w:numPr>
        <w:spacing w:before="60"/>
      </w:pPr>
      <w:r w:rsidRPr="00F13A01">
        <w:t>Design</w:t>
      </w:r>
    </w:p>
    <w:p w14:paraId="7AC7504C" w14:textId="77777777" w:rsidR="00F13A01" w:rsidRPr="00F13A01" w:rsidRDefault="00F13A01" w:rsidP="00695EB7">
      <w:pPr>
        <w:pStyle w:val="Body"/>
        <w:numPr>
          <w:ilvl w:val="0"/>
          <w:numId w:val="6"/>
        </w:numPr>
        <w:spacing w:before="60"/>
      </w:pPr>
      <w:r w:rsidRPr="00F13A01">
        <w:t>Layout</w:t>
      </w:r>
    </w:p>
    <w:p w14:paraId="4B607ED3" w14:textId="77777777" w:rsidR="00F13A01" w:rsidRPr="00F13A01" w:rsidRDefault="00F13A01" w:rsidP="00695EB7">
      <w:pPr>
        <w:pStyle w:val="Body"/>
        <w:numPr>
          <w:ilvl w:val="0"/>
          <w:numId w:val="6"/>
        </w:numPr>
        <w:spacing w:before="60"/>
      </w:pPr>
      <w:r w:rsidRPr="00F13A01">
        <w:t>Operating functions</w:t>
      </w:r>
    </w:p>
    <w:p w14:paraId="4FEE515F" w14:textId="77777777" w:rsidR="00F13A01" w:rsidRPr="00F13A01" w:rsidRDefault="00F13A01" w:rsidP="00695EB7">
      <w:pPr>
        <w:pStyle w:val="Body"/>
        <w:numPr>
          <w:ilvl w:val="0"/>
          <w:numId w:val="6"/>
        </w:numPr>
        <w:spacing w:before="60"/>
      </w:pPr>
      <w:r w:rsidRPr="00F13A01">
        <w:t xml:space="preserve">Limitations of use </w:t>
      </w:r>
    </w:p>
    <w:p w14:paraId="04B498DC" w14:textId="77777777" w:rsidR="00F13A01" w:rsidRPr="00F13A01" w:rsidRDefault="00F13A01" w:rsidP="00695EB7">
      <w:pPr>
        <w:pStyle w:val="Body"/>
        <w:numPr>
          <w:ilvl w:val="0"/>
          <w:numId w:val="6"/>
        </w:numPr>
        <w:spacing w:before="60"/>
      </w:pPr>
      <w:r w:rsidRPr="00F13A01">
        <w:t>Safety features</w:t>
      </w:r>
    </w:p>
    <w:p w14:paraId="1F58E041" w14:textId="77777777" w:rsidR="00F13A01" w:rsidRPr="00F13A01" w:rsidRDefault="00F13A01" w:rsidP="00695EB7">
      <w:pPr>
        <w:pStyle w:val="Body"/>
        <w:numPr>
          <w:ilvl w:val="0"/>
          <w:numId w:val="6"/>
        </w:numPr>
        <w:spacing w:before="60"/>
      </w:pPr>
      <w:r w:rsidRPr="00F13A01">
        <w:t xml:space="preserve">Maintenance and inspection requirements </w:t>
      </w:r>
    </w:p>
    <w:p w14:paraId="220E068E" w14:textId="0E082411" w:rsidR="00F13A01" w:rsidRPr="00F13A01" w:rsidRDefault="00F13A01" w:rsidP="00695EB7">
      <w:pPr>
        <w:pStyle w:val="Body"/>
        <w:numPr>
          <w:ilvl w:val="0"/>
          <w:numId w:val="6"/>
        </w:numPr>
        <w:spacing w:before="60"/>
      </w:pPr>
      <w:r w:rsidRPr="00F13A01">
        <w:t xml:space="preserve">Emergency procedures </w:t>
      </w:r>
    </w:p>
    <w:p w14:paraId="0881DA9F" w14:textId="0AD56BD6" w:rsidR="00D50914" w:rsidRPr="003F54FD" w:rsidRDefault="006E2E4C" w:rsidP="00F13A01">
      <w:pPr>
        <w:pStyle w:val="Body"/>
        <w:spacing w:before="60"/>
        <w:ind w:left="425"/>
      </w:pPr>
      <w:r w:rsidRPr="004C4FB3">
        <w:t xml:space="preserve">Inspections, maintenance and repairs of </w:t>
      </w:r>
      <w:r>
        <w:t xml:space="preserve">container handling equipment </w:t>
      </w:r>
      <w:r w:rsidRPr="004C4FB3">
        <w:t>must be conducted by competent personnel authorised by the Responsible Engineer</w:t>
      </w:r>
      <w:r w:rsidR="003F54FD">
        <w:t>.</w:t>
      </w:r>
      <w:r w:rsidR="00D46567" w:rsidRPr="003F54FD">
        <w:br w:type="page"/>
      </w:r>
    </w:p>
    <w:p w14:paraId="78ACC466" w14:textId="77777777" w:rsidR="00D50914" w:rsidRPr="00EC2949" w:rsidRDefault="00D46567">
      <w:pPr>
        <w:pStyle w:val="Body"/>
        <w:ind w:left="360"/>
        <w:jc w:val="center"/>
        <w:rPr>
          <w:b/>
          <w:bCs/>
          <w:sz w:val="32"/>
          <w:szCs w:val="32"/>
          <w:lang w:val="en-AU"/>
        </w:rPr>
      </w:pPr>
      <w:r w:rsidRPr="00EC2949">
        <w:rPr>
          <w:b/>
          <w:bCs/>
          <w:sz w:val="32"/>
          <w:szCs w:val="32"/>
          <w:lang w:val="en-AU"/>
        </w:rPr>
        <w:lastRenderedPageBreak/>
        <w:t>Task Requirements</w:t>
      </w:r>
    </w:p>
    <w:p w14:paraId="16F77791" w14:textId="77777777" w:rsidR="00D50914" w:rsidRPr="00EC2949" w:rsidRDefault="00D46567">
      <w:pPr>
        <w:pStyle w:val="Body"/>
        <w:spacing w:before="60" w:after="60"/>
        <w:ind w:left="426"/>
        <w:rPr>
          <w:lang w:val="en-AU"/>
        </w:rPr>
      </w:pPr>
      <w:r w:rsidRPr="00EC2949">
        <w:rPr>
          <w:lang w:val="en-AU"/>
        </w:rPr>
        <w:t xml:space="preserve">The following are the key day to day requirements operators/maintainers and supervisors </w:t>
      </w:r>
      <w:r w:rsidRPr="00EC2949">
        <w:rPr>
          <w:u w:val="single"/>
          <w:lang w:val="en-AU"/>
        </w:rPr>
        <w:t>must</w:t>
      </w:r>
      <w:r w:rsidRPr="00EC2949">
        <w:rPr>
          <w:lang w:val="en-AU"/>
        </w:rPr>
        <w:t xml:space="preserve"> follow to ensure the control is being used correctly.</w:t>
      </w:r>
    </w:p>
    <w:p w14:paraId="2EB2A88E" w14:textId="77777777" w:rsidR="00D50914" w:rsidRPr="00EC2949" w:rsidRDefault="00D46567">
      <w:pPr>
        <w:pStyle w:val="Heading2"/>
        <w:numPr>
          <w:ilvl w:val="0"/>
          <w:numId w:val="4"/>
        </w:numPr>
        <w:rPr>
          <w:rFonts w:cs="Arial"/>
          <w:lang w:val="en-AU"/>
        </w:rPr>
      </w:pPr>
      <w:r w:rsidRPr="00EC2949">
        <w:rPr>
          <w:rFonts w:cs="Arial"/>
          <w:lang w:val="en-AU"/>
        </w:rPr>
        <w:t>Task Requirements</w:t>
      </w:r>
    </w:p>
    <w:tbl>
      <w:tblPr>
        <w:tblW w:w="85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4"/>
        <w:gridCol w:w="3686"/>
        <w:gridCol w:w="4166"/>
      </w:tblGrid>
      <w:tr w:rsidR="00AA5092" w:rsidRPr="00EC2949" w14:paraId="4D985D96" w14:textId="77777777" w:rsidTr="00AA5092">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90FE1" w14:textId="77777777" w:rsidR="00D50914" w:rsidRPr="00EC2949" w:rsidRDefault="00D46567">
            <w:pPr>
              <w:pStyle w:val="Body"/>
              <w:spacing w:before="60" w:after="60"/>
              <w:jc w:val="center"/>
              <w:rPr>
                <w:color w:val="000000" w:themeColor="text1"/>
                <w:lang w:val="en-AU"/>
              </w:rPr>
            </w:pPr>
            <w:r w:rsidRPr="00EC2949">
              <w:rPr>
                <w:color w:val="000000" w:themeColor="text1"/>
                <w:lang w:val="en-AU"/>
              </w:rPr>
              <w:t>No.</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2D85E" w14:textId="77777777" w:rsidR="00D50914" w:rsidRPr="00EC2949" w:rsidRDefault="00D46567">
            <w:pPr>
              <w:pStyle w:val="Body"/>
              <w:spacing w:before="60" w:after="60"/>
              <w:jc w:val="center"/>
              <w:rPr>
                <w:color w:val="000000" w:themeColor="text1"/>
                <w:lang w:val="en-AU"/>
              </w:rPr>
            </w:pPr>
            <w:r w:rsidRPr="00EC2949">
              <w:rPr>
                <w:color w:val="000000" w:themeColor="text1"/>
                <w:lang w:val="en-AU"/>
              </w:rPr>
              <w:t>Supervisor</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37FBD" w14:textId="77777777" w:rsidR="00D50914" w:rsidRPr="00EC2949" w:rsidRDefault="00D46567">
            <w:pPr>
              <w:pStyle w:val="Body"/>
              <w:spacing w:before="60" w:after="60"/>
              <w:jc w:val="center"/>
              <w:rPr>
                <w:color w:val="000000" w:themeColor="text1"/>
                <w:lang w:val="en-AU"/>
              </w:rPr>
            </w:pPr>
            <w:r w:rsidRPr="00EC2949">
              <w:rPr>
                <w:color w:val="000000" w:themeColor="text1"/>
                <w:lang w:val="en-AU"/>
              </w:rPr>
              <w:t>Operator/Maintainer</w:t>
            </w:r>
          </w:p>
        </w:tc>
      </w:tr>
      <w:tr w:rsidR="006E2E4C" w:rsidRPr="00EC2949" w14:paraId="53142FC6" w14:textId="77777777" w:rsidTr="00E40289">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B1AEE" w14:textId="77777777" w:rsidR="006E2E4C" w:rsidRPr="00EC2949" w:rsidRDefault="006E2E4C" w:rsidP="006E2E4C">
            <w:pPr>
              <w:pStyle w:val="Body"/>
              <w:spacing w:before="60" w:after="60"/>
              <w:jc w:val="center"/>
              <w:rPr>
                <w:color w:val="000000" w:themeColor="text1"/>
                <w:lang w:val="en-AU"/>
              </w:rPr>
            </w:pPr>
            <w:r w:rsidRPr="00EC2949">
              <w:rPr>
                <w:color w:val="000000" w:themeColor="text1"/>
                <w:lang w:val="en-AU"/>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551BB1" w14:textId="0237388F" w:rsidR="006E2E4C" w:rsidRPr="00EC2949" w:rsidRDefault="006E2E4C" w:rsidP="00E4028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995117">
              <w:rPr>
                <w:rFonts w:eastAsia="ヒラギノ角ゴ Pro W3"/>
              </w:rPr>
              <w:t xml:space="preserve">Verify people required to operate equipment </w:t>
            </w:r>
            <w:r>
              <w:rPr>
                <w:rFonts w:eastAsia="ヒラギノ角ゴ Pro W3"/>
              </w:rPr>
              <w:t xml:space="preserve">handling shipping containers </w:t>
            </w:r>
            <w:r w:rsidRPr="00995117">
              <w:rPr>
                <w:rFonts w:eastAsia="ヒラギノ角ゴ Pro W3"/>
              </w:rPr>
              <w:t>are trained and assessed as competent to industry standard and licensed as required.</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14191D" w14:textId="660E6FE2" w:rsidR="006E2E4C" w:rsidRPr="00F13A01" w:rsidRDefault="006E2E4C" w:rsidP="00E40289">
            <w:pPr>
              <w:pStyle w:val="Body"/>
              <w:spacing w:before="60" w:after="60"/>
              <w:rPr>
                <w:rFonts w:ascii="Helv" w:hAnsi="Helv" w:cs="Helv"/>
                <w:lang w:val="en-AU" w:eastAsia="en-AU"/>
              </w:rPr>
            </w:pPr>
            <w:r w:rsidRPr="00995117">
              <w:rPr>
                <w:rFonts w:eastAsia="ヒラギノ角ゴ Pro W3"/>
              </w:rPr>
              <w:t xml:space="preserve">Conduct pre-lift load inspection. Do not lift unstable or unsecure loads without stabilising or securing them. </w:t>
            </w:r>
          </w:p>
        </w:tc>
      </w:tr>
      <w:tr w:rsidR="00E40289" w:rsidRPr="00EC2949" w14:paraId="094D2204" w14:textId="77777777" w:rsidTr="00E40289">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993C0" w14:textId="77777777" w:rsidR="00E40289" w:rsidRPr="00EC2949" w:rsidRDefault="00E40289" w:rsidP="00E40289">
            <w:pPr>
              <w:pStyle w:val="Body"/>
              <w:spacing w:before="60" w:after="60"/>
              <w:jc w:val="center"/>
              <w:rPr>
                <w:color w:val="000000" w:themeColor="text1"/>
                <w:lang w:val="en-AU"/>
              </w:rPr>
            </w:pPr>
            <w:r w:rsidRPr="00EC2949">
              <w:rPr>
                <w:color w:val="000000" w:themeColor="text1"/>
                <w:lang w:val="en-AU"/>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25F7E6" w14:textId="243462E6" w:rsidR="00E40289" w:rsidRPr="00EC2949" w:rsidRDefault="00E40289" w:rsidP="00E4028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Pr>
                <w:rFonts w:eastAsia="ヒラギノ角ゴ Pro W3"/>
              </w:rPr>
              <w:t xml:space="preserve">Ensure </w:t>
            </w:r>
            <w:r>
              <w:rPr>
                <w:rFonts w:eastAsia="ヒラギノ角ゴ Pro W3"/>
              </w:rPr>
              <w:t xml:space="preserve">container handling </w:t>
            </w:r>
            <w:r w:rsidRPr="008025FB">
              <w:rPr>
                <w:rFonts w:eastAsia="ヒラギノ角ゴ Pro W3"/>
              </w:rPr>
              <w:t xml:space="preserve">equipment and attachments </w:t>
            </w:r>
            <w:r>
              <w:rPr>
                <w:rFonts w:eastAsia="ヒラギノ角ゴ Pro W3"/>
              </w:rPr>
              <w:t>is</w:t>
            </w:r>
            <w:r w:rsidRPr="008025FB">
              <w:rPr>
                <w:rFonts w:eastAsia="ヒラギノ角ゴ Pro W3"/>
              </w:rPr>
              <w:t xml:space="preserve"> maintained as per manufacturer</w:t>
            </w:r>
            <w:r>
              <w:rPr>
                <w:rFonts w:eastAsia="ヒラギノ角ゴ Pro W3"/>
              </w:rPr>
              <w:t>’s</w:t>
            </w:r>
            <w:r w:rsidRPr="008025FB">
              <w:rPr>
                <w:rFonts w:eastAsia="ヒラギノ角ゴ Pro W3"/>
              </w:rPr>
              <w:t xml:space="preserve"> </w:t>
            </w:r>
            <w:r>
              <w:rPr>
                <w:rFonts w:eastAsia="ヒラギノ角ゴ Pro W3"/>
              </w:rPr>
              <w:t>r</w:t>
            </w:r>
            <w:r w:rsidRPr="008025FB">
              <w:rPr>
                <w:rFonts w:eastAsia="ヒラギノ角ゴ Pro W3"/>
              </w:rPr>
              <w:t>ecommendation.</w:t>
            </w:r>
            <w:r>
              <w:t xml:space="preserve">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A439DF" w14:textId="4AECF75C" w:rsidR="00E40289" w:rsidRPr="00EC2949" w:rsidRDefault="00E40289" w:rsidP="00E40289">
            <w:pPr>
              <w:pStyle w:val="Body"/>
              <w:spacing w:before="60" w:after="60"/>
              <w:rPr>
                <w:color w:val="auto"/>
                <w:lang w:val="en-AU"/>
              </w:rPr>
            </w:pPr>
            <w:r w:rsidRPr="00995117">
              <w:rPr>
                <w:rFonts w:eastAsia="ヒラギノ角ゴ Pro W3"/>
              </w:rPr>
              <w:t xml:space="preserve">Check weight to be lifted against safe working limit of </w:t>
            </w:r>
            <w:r>
              <w:rPr>
                <w:rFonts w:eastAsia="ヒラギノ角ゴ Pro W3"/>
              </w:rPr>
              <w:t xml:space="preserve">container handling equipment </w:t>
            </w:r>
            <w:r w:rsidRPr="00995117">
              <w:rPr>
                <w:rFonts w:eastAsia="ヒラギノ角ゴ Pro W3"/>
              </w:rPr>
              <w:t>before lifting.</w:t>
            </w:r>
            <w:r>
              <w:t xml:space="preserve"> </w:t>
            </w:r>
            <w:r w:rsidRPr="0008031C">
              <w:rPr>
                <w:rFonts w:eastAsia="ヒラギノ角ゴ Pro W3"/>
              </w:rPr>
              <w:t>The container weight is checked to ensure it is within the specified maximum lifting capacity of the side lifter vehicle</w:t>
            </w:r>
            <w:r>
              <w:rPr>
                <w:rFonts w:eastAsia="ヒラギノ角ゴ Pro W3"/>
              </w:rPr>
              <w:t>.</w:t>
            </w:r>
          </w:p>
        </w:tc>
      </w:tr>
      <w:tr w:rsidR="00E40289" w:rsidRPr="00EC2949" w14:paraId="2D07FD67" w14:textId="77777777" w:rsidTr="00E40289">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1EAC9F" w14:textId="77777777" w:rsidR="00E40289" w:rsidRPr="00EC2949" w:rsidRDefault="00E40289" w:rsidP="00E40289">
            <w:pPr>
              <w:pStyle w:val="Body"/>
              <w:spacing w:before="60" w:after="60"/>
              <w:jc w:val="center"/>
              <w:rPr>
                <w:color w:val="000000" w:themeColor="text1"/>
                <w:lang w:val="en-AU"/>
              </w:rPr>
            </w:pPr>
            <w:r w:rsidRPr="00EC2949">
              <w:rPr>
                <w:color w:val="000000" w:themeColor="text1"/>
                <w:lang w:val="en-AU"/>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D1404F" w14:textId="4401C204" w:rsidR="00E40289" w:rsidRPr="007E6C23" w:rsidRDefault="00E40289" w:rsidP="00E40289">
            <w:pPr>
              <w:pStyle w:val="Body"/>
              <w:spacing w:before="60" w:after="60"/>
            </w:pPr>
            <w:r w:rsidRPr="004C4FB3">
              <w:rPr>
                <w:rFonts w:eastAsia="ヒラギノ角ゴ Pro W3"/>
              </w:rPr>
              <w:t>M</w:t>
            </w:r>
            <w:r>
              <w:rPr>
                <w:rFonts w:eastAsia="ヒラギノ角ゴ Pro W3"/>
              </w:rPr>
              <w:t>aintain a register of licensed container handling equipment</w:t>
            </w:r>
            <w:r w:rsidRPr="004C4FB3">
              <w:rPr>
                <w:rFonts w:eastAsia="ヒラギノ角ゴ Pro W3"/>
              </w:rPr>
              <w:t xml:space="preserve"> operators.</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9CC395" w14:textId="77957324" w:rsidR="00E40289" w:rsidRPr="00EC2949" w:rsidRDefault="00E40289" w:rsidP="00E40289">
            <w:pPr>
              <w:pStyle w:val="Body"/>
              <w:spacing w:before="60" w:after="60"/>
              <w:rPr>
                <w:color w:val="auto"/>
                <w:lang w:val="en-AU"/>
              </w:rPr>
            </w:pPr>
            <w:r w:rsidRPr="00995117">
              <w:rPr>
                <w:rFonts w:eastAsia="ヒラギノ角ゴ Pro W3"/>
              </w:rPr>
              <w:t xml:space="preserve">Operate </w:t>
            </w:r>
            <w:r>
              <w:rPr>
                <w:rFonts w:eastAsia="ヒラギノ角ゴ Pro W3"/>
              </w:rPr>
              <w:t xml:space="preserve">container handling </w:t>
            </w:r>
            <w:r w:rsidRPr="00995117">
              <w:rPr>
                <w:rFonts w:eastAsia="ヒラギノ角ゴ Pro W3"/>
              </w:rPr>
              <w:t>equipment within limits of load rating chart including for any attachments.</w:t>
            </w:r>
          </w:p>
        </w:tc>
      </w:tr>
      <w:tr w:rsidR="00E40289" w:rsidRPr="00EC2949" w14:paraId="5B6B2CE6" w14:textId="77777777" w:rsidTr="00E40289">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11CD4" w14:textId="77777777" w:rsidR="00E40289" w:rsidRPr="00EC2949" w:rsidRDefault="00E40289" w:rsidP="00E40289">
            <w:pPr>
              <w:pStyle w:val="Body"/>
              <w:spacing w:before="60" w:after="60"/>
              <w:jc w:val="center"/>
              <w:rPr>
                <w:color w:val="000000" w:themeColor="text1"/>
                <w:lang w:val="en-AU"/>
              </w:rPr>
            </w:pPr>
            <w:r w:rsidRPr="00EC2949">
              <w:rPr>
                <w:color w:val="000000" w:themeColor="text1"/>
                <w:lang w:val="en-AU"/>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0BC4A3" w14:textId="2A48D352" w:rsidR="00E40289" w:rsidRPr="00EC2949" w:rsidRDefault="00E40289" w:rsidP="00E4028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Pr>
                <w:rFonts w:eastAsia="ヒラギノ角ゴ Pro W3"/>
              </w:rPr>
              <w:t xml:space="preserve">Verify </w:t>
            </w:r>
            <w:r w:rsidRPr="004C4FB3">
              <w:rPr>
                <w:rFonts w:eastAsia="ヒラギノ角ゴ Pro W3"/>
              </w:rPr>
              <w:t>all personnel using a forklift</w:t>
            </w:r>
            <w:r>
              <w:rPr>
                <w:rFonts w:eastAsia="ヒラギノ角ゴ Pro W3"/>
              </w:rPr>
              <w:t xml:space="preserve">, </w:t>
            </w:r>
            <w:proofErr w:type="spellStart"/>
            <w:r>
              <w:rPr>
                <w:rFonts w:eastAsia="ヒラギノ角ゴ Pro W3"/>
              </w:rPr>
              <w:t>sideloader</w:t>
            </w:r>
            <w:proofErr w:type="spellEnd"/>
            <w:r>
              <w:rPr>
                <w:rFonts w:eastAsia="ヒラギノ角ゴ Pro W3"/>
              </w:rPr>
              <w:t xml:space="preserve"> or straddle carrier </w:t>
            </w:r>
            <w:r w:rsidRPr="004C4FB3">
              <w:rPr>
                <w:rFonts w:eastAsia="ヒラギノ角ゴ Pro W3"/>
              </w:rPr>
              <w:t>at the workplace hold relevant licences.</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836FF6" w14:textId="45E5AC33" w:rsidR="00E40289" w:rsidRPr="00F13A01" w:rsidRDefault="00E40289" w:rsidP="00E40289">
            <w:pPr>
              <w:pStyle w:val="Body"/>
              <w:spacing w:before="60" w:after="60"/>
              <w:rPr>
                <w:rFonts w:ascii="Times New Roman" w:eastAsia="Arial Unicode MS" w:hAnsi="Times New Roman"/>
                <w:color w:val="auto"/>
                <w:sz w:val="24"/>
                <w:lang w:eastAsia="en-US"/>
              </w:rPr>
            </w:pPr>
            <w:r>
              <w:rPr>
                <w:rFonts w:eastAsia="ヒラギノ角ゴ Pro W3"/>
              </w:rPr>
              <w:t>Check l</w:t>
            </w:r>
            <w:r w:rsidRPr="0008031C">
              <w:rPr>
                <w:rFonts w:eastAsia="ヒラギノ角ゴ Pro W3"/>
              </w:rPr>
              <w:t>oad securing devices are unlocked or removed and lifting equipment is attached to the container, and adjusted if required, in accordance wi</w:t>
            </w:r>
            <w:r>
              <w:rPr>
                <w:rFonts w:eastAsia="ヒラギノ角ゴ Pro W3"/>
              </w:rPr>
              <w:t xml:space="preserve">th manufacturer’s specifications. </w:t>
            </w:r>
          </w:p>
        </w:tc>
      </w:tr>
      <w:tr w:rsidR="00E40289" w:rsidRPr="00EC2949" w14:paraId="1CC6A19C" w14:textId="77777777" w:rsidTr="00E40289">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47D8F" w14:textId="0B329F16" w:rsidR="00E40289" w:rsidRPr="00EC2949" w:rsidRDefault="00E40289" w:rsidP="00E40289">
            <w:pPr>
              <w:pStyle w:val="Body"/>
              <w:spacing w:before="60" w:after="60"/>
              <w:jc w:val="center"/>
              <w:rPr>
                <w:color w:val="000000" w:themeColor="text1"/>
                <w:lang w:val="en-AU"/>
              </w:rPr>
            </w:pPr>
            <w:r>
              <w:rPr>
                <w:color w:val="000000" w:themeColor="text1"/>
                <w:lang w:val="en-AU"/>
              </w:rPr>
              <w:t>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219EE2" w14:textId="2C7CB4CE" w:rsidR="00E40289" w:rsidRPr="00FC18F6" w:rsidRDefault="00E40289" w:rsidP="00E4028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eastAsia="ヒラギノ角ゴ Pro W3"/>
              </w:rPr>
            </w:pPr>
            <w:r>
              <w:rPr>
                <w:rFonts w:eastAsia="ヒラギノ角ゴ Pro W3"/>
              </w:rPr>
              <w:t>Verify c</w:t>
            </w:r>
            <w:r w:rsidRPr="00EB36D4">
              <w:rPr>
                <w:rFonts w:eastAsia="ヒラギノ角ゴ Pro W3"/>
              </w:rPr>
              <w:t>ontainer lifting sets inspected, examined and tested, by an inspection body in accordance with applicable standards.</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D905F7" w14:textId="47B2ACE4" w:rsidR="00E40289" w:rsidRPr="00FC18F6" w:rsidRDefault="00E40289" w:rsidP="00E40289">
            <w:pPr>
              <w:pStyle w:val="Body"/>
              <w:spacing w:before="60" w:after="60"/>
              <w:rPr>
                <w:rFonts w:eastAsia="ヒラギノ角ゴ Pro W3"/>
              </w:rPr>
            </w:pPr>
            <w:r>
              <w:rPr>
                <w:rFonts w:eastAsia="ヒラギノ角ゴ Pro W3"/>
              </w:rPr>
              <w:t>Identify and implement e</w:t>
            </w:r>
            <w:r w:rsidRPr="0008031C">
              <w:rPr>
                <w:rFonts w:eastAsia="ヒラギノ角ゴ Pro W3"/>
              </w:rPr>
              <w:t>xclusion zones</w:t>
            </w:r>
            <w:r>
              <w:rPr>
                <w:rFonts w:eastAsia="ヒラギノ角ゴ Pro W3"/>
              </w:rPr>
              <w:t>. Establish e</w:t>
            </w:r>
            <w:r w:rsidRPr="008025FB">
              <w:rPr>
                <w:rFonts w:eastAsia="ヒラギノ角ゴ Pro W3"/>
              </w:rPr>
              <w:t>xclusion zones</w:t>
            </w:r>
            <w:r>
              <w:rPr>
                <w:rFonts w:eastAsia="ヒラギノ角ゴ Pro W3"/>
              </w:rPr>
              <w:t xml:space="preserve"> with</w:t>
            </w:r>
            <w:r w:rsidRPr="008025FB">
              <w:rPr>
                <w:rFonts w:eastAsia="ヒラギノ角ゴ Pro W3"/>
              </w:rPr>
              <w:t>, pedestrian no go zones</w:t>
            </w:r>
            <w:r>
              <w:rPr>
                <w:rFonts w:eastAsia="ヒラギノ角ゴ Pro W3"/>
              </w:rPr>
              <w:t xml:space="preserve"> around container handling operations. </w:t>
            </w:r>
          </w:p>
        </w:tc>
      </w:tr>
      <w:tr w:rsidR="00E40289" w:rsidRPr="00EC2949" w14:paraId="20008608" w14:textId="77777777" w:rsidTr="00E40289">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6390F" w14:textId="77777777" w:rsidR="00E40289" w:rsidRDefault="00E40289" w:rsidP="00E40289">
            <w:pPr>
              <w:pStyle w:val="Body"/>
              <w:spacing w:before="60" w:after="60"/>
              <w:jc w:val="center"/>
              <w:rPr>
                <w:color w:val="000000" w:themeColor="text1"/>
                <w:lang w:val="en-AU"/>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97EE48" w14:textId="77777777" w:rsidR="00E40289" w:rsidRDefault="00E40289" w:rsidP="00E4028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eastAsia="ヒラギノ角ゴ Pro W3"/>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9D277B" w14:textId="78D5310A" w:rsidR="00E40289" w:rsidRDefault="00E40289" w:rsidP="00E40289">
            <w:pPr>
              <w:pStyle w:val="Body"/>
              <w:tabs>
                <w:tab w:val="left" w:pos="1295"/>
              </w:tabs>
              <w:spacing w:before="60" w:after="60"/>
              <w:rPr>
                <w:rFonts w:eastAsia="ヒラギノ角ゴ Pro W3"/>
              </w:rPr>
            </w:pPr>
            <w:r>
              <w:t>Conduct p</w:t>
            </w:r>
            <w:r w:rsidRPr="008A76FA">
              <w:t>re-operational checks on the side lifter, lifting assemblies, specialist lifting equipment, and ancillary equipment (if fitted) for serviceability and suitability for the task and readiness for operation</w:t>
            </w:r>
            <w:r>
              <w:t xml:space="preserve">. </w:t>
            </w:r>
          </w:p>
        </w:tc>
      </w:tr>
      <w:tr w:rsidR="00E40289" w:rsidRPr="00EC2949" w14:paraId="181D553E" w14:textId="77777777" w:rsidTr="00E40289">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2AD68" w14:textId="77777777" w:rsidR="00E40289" w:rsidRDefault="00E40289" w:rsidP="00E40289">
            <w:pPr>
              <w:pStyle w:val="Body"/>
              <w:spacing w:before="60" w:after="60"/>
              <w:jc w:val="center"/>
              <w:rPr>
                <w:color w:val="000000" w:themeColor="text1"/>
                <w:lang w:val="en-AU"/>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635A15" w14:textId="77777777" w:rsidR="00E40289" w:rsidRDefault="00E40289" w:rsidP="00E4028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eastAsia="ヒラギノ角ゴ Pro W3"/>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838F4C" w14:textId="07390D85" w:rsidR="00E40289" w:rsidRDefault="00E40289" w:rsidP="00E40289">
            <w:pPr>
              <w:pStyle w:val="Body"/>
              <w:spacing w:before="60" w:after="60"/>
              <w:rPr>
                <w:rFonts w:eastAsia="ヒラギノ角ゴ Pro W3"/>
              </w:rPr>
            </w:pPr>
            <w:r>
              <w:t>Check g</w:t>
            </w:r>
            <w:r w:rsidRPr="008A76FA">
              <w:t>round conditions to ensure stability</w:t>
            </w:r>
            <w:r>
              <w:t>.</w:t>
            </w:r>
          </w:p>
        </w:tc>
      </w:tr>
      <w:tr w:rsidR="00E40289" w:rsidRPr="00EC2949" w14:paraId="4E405AB1" w14:textId="77777777" w:rsidTr="00E40289">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BEC56" w14:textId="77777777" w:rsidR="00E40289" w:rsidRDefault="00E40289" w:rsidP="00E40289">
            <w:pPr>
              <w:pStyle w:val="Body"/>
              <w:spacing w:before="60" w:after="60"/>
              <w:jc w:val="center"/>
              <w:rPr>
                <w:color w:val="000000" w:themeColor="text1"/>
                <w:lang w:val="en-AU"/>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867DA7" w14:textId="77777777" w:rsidR="00E40289" w:rsidRDefault="00E40289" w:rsidP="00E40289">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eastAsia="ヒラギノ角ゴ Pro W3"/>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8F4469" w14:textId="6F8B1F6A" w:rsidR="00E40289" w:rsidRDefault="00E40289" w:rsidP="00E40289">
            <w:pPr>
              <w:pStyle w:val="Body"/>
              <w:tabs>
                <w:tab w:val="left" w:pos="2507"/>
              </w:tabs>
              <w:spacing w:before="60" w:after="60"/>
              <w:rPr>
                <w:rFonts w:eastAsia="ヒラギノ角ゴ Pro W3"/>
              </w:rPr>
            </w:pPr>
            <w:r w:rsidRPr="008A76FA">
              <w:t xml:space="preserve">Stop work if personnel enter exclusion zone under suspended load. The </w:t>
            </w:r>
            <w:r w:rsidRPr="008A76FA">
              <w:lastRenderedPageBreak/>
              <w:t>container handling equipment operator should not begin loading/unloading until everyone is clear of the exclusion zone.</w:t>
            </w:r>
          </w:p>
        </w:tc>
      </w:tr>
    </w:tbl>
    <w:p w14:paraId="25362686" w14:textId="77777777" w:rsidR="00D50914" w:rsidRPr="00EC2949" w:rsidRDefault="00D46567">
      <w:pPr>
        <w:pStyle w:val="Heading2"/>
        <w:numPr>
          <w:ilvl w:val="0"/>
          <w:numId w:val="3"/>
        </w:numPr>
        <w:rPr>
          <w:rFonts w:cs="Arial"/>
          <w:lang w:val="en-AU"/>
        </w:rPr>
      </w:pPr>
      <w:r w:rsidRPr="00EC2949">
        <w:rPr>
          <w:rFonts w:cs="Arial"/>
          <w:lang w:val="en-AU"/>
        </w:rPr>
        <w:lastRenderedPageBreak/>
        <w:t>Skills Requirements</w:t>
      </w:r>
    </w:p>
    <w:p w14:paraId="7428226A" w14:textId="3390A995" w:rsidR="00E40CB8" w:rsidRDefault="00E40CB8" w:rsidP="00E40CB8">
      <w:pPr>
        <w:pStyle w:val="Body"/>
        <w:spacing w:before="60"/>
        <w:ind w:left="426"/>
      </w:pPr>
      <w:r>
        <w:t xml:space="preserve">Container handling equipment </w:t>
      </w:r>
      <w:r w:rsidRPr="004C4FB3">
        <w:t xml:space="preserve">operator authorised as competent </w:t>
      </w:r>
      <w:r>
        <w:t xml:space="preserve">e.g. in operation of </w:t>
      </w:r>
      <w:proofErr w:type="spellStart"/>
      <w:r>
        <w:t>sideloader</w:t>
      </w:r>
      <w:proofErr w:type="spellEnd"/>
      <w:r>
        <w:t xml:space="preserve"> or forklift </w:t>
      </w:r>
      <w:r w:rsidRPr="004C4FB3">
        <w:t>and, as required.</w:t>
      </w:r>
    </w:p>
    <w:p w14:paraId="51B3E1AE" w14:textId="42BD300C" w:rsidR="0015688E" w:rsidRPr="00E40CB8" w:rsidRDefault="00E40CB8" w:rsidP="00E40CB8">
      <w:pPr>
        <w:pStyle w:val="Body"/>
        <w:spacing w:before="60"/>
        <w:ind w:left="426"/>
      </w:pPr>
      <w:proofErr w:type="spellStart"/>
      <w:r>
        <w:t>Sideloader</w:t>
      </w:r>
      <w:proofErr w:type="spellEnd"/>
      <w:r>
        <w:t xml:space="preserve"> operator licensed for class of vehicle</w:t>
      </w:r>
      <w:r w:rsidR="0015688E" w:rsidRPr="00E40CB8">
        <w:t>.</w:t>
      </w:r>
    </w:p>
    <w:p w14:paraId="5F6B4C22" w14:textId="77777777" w:rsidR="00D50914" w:rsidRPr="00EC2949" w:rsidRDefault="00D46567">
      <w:pPr>
        <w:pStyle w:val="Heading2"/>
        <w:numPr>
          <w:ilvl w:val="0"/>
          <w:numId w:val="3"/>
        </w:numPr>
        <w:rPr>
          <w:rFonts w:cs="Arial"/>
          <w:color w:val="000000" w:themeColor="text1"/>
          <w:lang w:val="en-AU"/>
        </w:rPr>
      </w:pPr>
      <w:r w:rsidRPr="00EC2949">
        <w:rPr>
          <w:rFonts w:cs="Arial"/>
          <w:color w:val="000000" w:themeColor="text1"/>
          <w:lang w:val="en-AU"/>
        </w:rPr>
        <w:t>Permits</w:t>
      </w:r>
    </w:p>
    <w:p w14:paraId="32549888" w14:textId="45A645F5" w:rsidR="00D50914" w:rsidRPr="00EC2949" w:rsidRDefault="00F13A01" w:rsidP="001D0E6E">
      <w:pPr>
        <w:pStyle w:val="Body"/>
        <w:spacing w:before="60"/>
        <w:ind w:left="426"/>
        <w:rPr>
          <w:color w:val="000000" w:themeColor="text1"/>
          <w:u w:color="4F81BD"/>
          <w:lang w:val="en-AU"/>
        </w:rPr>
      </w:pPr>
      <w:r>
        <w:t>No additional requirements</w:t>
      </w:r>
      <w:r w:rsidR="00AA5092" w:rsidRPr="00EC2949">
        <w:rPr>
          <w:color w:val="000000" w:themeColor="text1"/>
          <w:u w:color="4F81BD"/>
          <w:lang w:val="en-AU"/>
        </w:rPr>
        <w:t>.</w:t>
      </w:r>
    </w:p>
    <w:p w14:paraId="726C6D9F" w14:textId="77777777" w:rsidR="00D50914" w:rsidRPr="00EC2949" w:rsidRDefault="00D46567">
      <w:pPr>
        <w:pStyle w:val="Heading2"/>
        <w:numPr>
          <w:ilvl w:val="0"/>
          <w:numId w:val="3"/>
        </w:numPr>
        <w:rPr>
          <w:rFonts w:cs="Arial"/>
          <w:lang w:val="en-AU"/>
        </w:rPr>
      </w:pPr>
      <w:r w:rsidRPr="00EC2949">
        <w:rPr>
          <w:rFonts w:cs="Arial"/>
          <w:lang w:val="en-AU"/>
        </w:rPr>
        <w:t>Task Specific PPE Requirements</w:t>
      </w:r>
    </w:p>
    <w:p w14:paraId="7EEBA1D5" w14:textId="5EA22D2F" w:rsidR="00FD0025" w:rsidRPr="00EC2949" w:rsidRDefault="00B638A0" w:rsidP="00FD0025">
      <w:pPr>
        <w:pStyle w:val="Body"/>
        <w:spacing w:before="60"/>
        <w:ind w:left="426"/>
        <w:rPr>
          <w:color w:val="000000" w:themeColor="text1"/>
          <w:u w:color="4F81BD"/>
          <w:lang w:val="en-AU"/>
        </w:rPr>
      </w:pPr>
      <w:r w:rsidRPr="00EC2949">
        <w:rPr>
          <w:color w:val="000000" w:themeColor="text1"/>
          <w:u w:color="4F81BD"/>
          <w:lang w:val="en-AU"/>
        </w:rPr>
        <w:t>No additional requirements.</w:t>
      </w:r>
    </w:p>
    <w:p w14:paraId="2670869E" w14:textId="77777777" w:rsidR="00D50914" w:rsidRPr="00EC2949" w:rsidRDefault="00D46567">
      <w:pPr>
        <w:pStyle w:val="Heading2"/>
        <w:numPr>
          <w:ilvl w:val="0"/>
          <w:numId w:val="3"/>
        </w:numPr>
        <w:rPr>
          <w:rFonts w:cs="Arial"/>
          <w:lang w:val="en-AU"/>
        </w:rPr>
      </w:pPr>
      <w:r w:rsidRPr="00EC2949">
        <w:rPr>
          <w:rFonts w:cs="Arial"/>
          <w:lang w:val="en-AU"/>
        </w:rPr>
        <w:t>Special Task Related Tooling</w:t>
      </w:r>
    </w:p>
    <w:p w14:paraId="45E9147E" w14:textId="41486172" w:rsidR="00D50914" w:rsidRPr="00EC2949" w:rsidRDefault="00F13A01" w:rsidP="00D2494B">
      <w:pPr>
        <w:pStyle w:val="Body"/>
        <w:spacing w:before="60"/>
        <w:ind w:left="426"/>
        <w:rPr>
          <w:color w:val="000000" w:themeColor="text1"/>
          <w:u w:color="4F81BD"/>
          <w:lang w:val="en-AU"/>
        </w:rPr>
      </w:pPr>
      <w:r>
        <w:t>No additional requirements</w:t>
      </w:r>
      <w:r w:rsidR="0025062B" w:rsidRPr="00EC2949">
        <w:rPr>
          <w:color w:val="000000" w:themeColor="text1"/>
          <w:u w:color="4F81BD"/>
          <w:lang w:val="en-AU"/>
        </w:rPr>
        <w:t xml:space="preserve">. </w:t>
      </w:r>
      <w:r w:rsidR="00D46567" w:rsidRPr="00EC2949">
        <w:rPr>
          <w:color w:val="000000" w:themeColor="text1"/>
          <w:u w:color="4F81BD"/>
          <w:lang w:val="en-AU"/>
        </w:rPr>
        <w:br w:type="page"/>
      </w:r>
    </w:p>
    <w:p w14:paraId="19C40F5A" w14:textId="77777777" w:rsidR="00D50914" w:rsidRPr="00EC2949" w:rsidRDefault="00D46567">
      <w:pPr>
        <w:pStyle w:val="Body"/>
        <w:spacing w:before="60"/>
        <w:ind w:left="426"/>
        <w:jc w:val="center"/>
        <w:rPr>
          <w:b/>
          <w:bCs/>
          <w:sz w:val="32"/>
          <w:szCs w:val="32"/>
          <w:lang w:val="en-AU"/>
        </w:rPr>
      </w:pPr>
      <w:r w:rsidRPr="00EC2949">
        <w:rPr>
          <w:b/>
          <w:bCs/>
          <w:sz w:val="32"/>
          <w:szCs w:val="32"/>
          <w:lang w:val="en-AU"/>
        </w:rPr>
        <w:lastRenderedPageBreak/>
        <w:t>Design Requirements</w:t>
      </w:r>
    </w:p>
    <w:p w14:paraId="118DA08D" w14:textId="77777777" w:rsidR="00D50914" w:rsidRPr="00EC2949" w:rsidRDefault="00D46567" w:rsidP="00695EB7">
      <w:pPr>
        <w:pStyle w:val="Heading2"/>
        <w:numPr>
          <w:ilvl w:val="0"/>
          <w:numId w:val="5"/>
        </w:numPr>
        <w:rPr>
          <w:rFonts w:cs="Arial"/>
          <w:lang w:val="en-AU"/>
        </w:rPr>
      </w:pPr>
      <w:r w:rsidRPr="00EC2949">
        <w:rPr>
          <w:rFonts w:cs="Arial"/>
          <w:lang w:val="en-AU"/>
        </w:rPr>
        <w:t>Design Standard</w:t>
      </w:r>
    </w:p>
    <w:p w14:paraId="33BC0C6F" w14:textId="77777777" w:rsidR="00E40CB8" w:rsidRDefault="00E40CB8" w:rsidP="00E40CB8">
      <w:pPr>
        <w:pStyle w:val="Body"/>
        <w:spacing w:before="60" w:after="60"/>
        <w:ind w:left="426"/>
        <w:jc w:val="both"/>
        <w:rPr>
          <w:u w:color="4F81BD"/>
          <w:lang w:val="en-AU"/>
        </w:rPr>
      </w:pPr>
      <w:r w:rsidRPr="00E40CB8">
        <w:rPr>
          <w:u w:color="4F81BD"/>
          <w:lang w:val="en-AU"/>
        </w:rPr>
        <w:t>Container handling and securing device complies with applicable industry standards e.g.:</w:t>
      </w:r>
    </w:p>
    <w:p w14:paraId="2ABD5EBE" w14:textId="77777777" w:rsidR="00E40CB8" w:rsidRDefault="00E40CB8" w:rsidP="00695EB7">
      <w:pPr>
        <w:pStyle w:val="Body"/>
        <w:numPr>
          <w:ilvl w:val="0"/>
          <w:numId w:val="9"/>
        </w:numPr>
        <w:spacing w:before="60" w:after="60"/>
        <w:jc w:val="both"/>
        <w:rPr>
          <w:u w:color="4F81BD"/>
          <w:lang w:val="en-AU"/>
        </w:rPr>
      </w:pPr>
      <w:r w:rsidRPr="00E40CB8">
        <w:rPr>
          <w:u w:color="4F81BD"/>
          <w:lang w:val="en-AU"/>
        </w:rPr>
        <w:t>ISO 3874 Series 1 Freight Containers Handling and Securing.</w:t>
      </w:r>
    </w:p>
    <w:p w14:paraId="496C8759" w14:textId="77777777" w:rsidR="00E40CB8" w:rsidRDefault="00E40CB8" w:rsidP="00695EB7">
      <w:pPr>
        <w:pStyle w:val="Body"/>
        <w:numPr>
          <w:ilvl w:val="0"/>
          <w:numId w:val="9"/>
        </w:numPr>
        <w:spacing w:before="60" w:after="60"/>
        <w:jc w:val="both"/>
        <w:rPr>
          <w:u w:color="4F81BD"/>
          <w:lang w:val="en-AU"/>
        </w:rPr>
      </w:pPr>
      <w:r w:rsidRPr="00E40CB8">
        <w:rPr>
          <w:u w:color="4F81BD"/>
          <w:lang w:val="en-AU"/>
        </w:rPr>
        <w:t>IMO International Convention for Safe Containers (CSC). Includes two annexes:</w:t>
      </w:r>
    </w:p>
    <w:p w14:paraId="61E8AFB6" w14:textId="286E253A" w:rsidR="00E40CB8" w:rsidRDefault="00E40CB8" w:rsidP="00695EB7">
      <w:pPr>
        <w:pStyle w:val="Body"/>
        <w:numPr>
          <w:ilvl w:val="1"/>
          <w:numId w:val="9"/>
        </w:numPr>
        <w:spacing w:before="60" w:after="60"/>
        <w:jc w:val="both"/>
        <w:rPr>
          <w:u w:color="4F81BD"/>
          <w:lang w:val="en-AU"/>
        </w:rPr>
      </w:pPr>
      <w:r w:rsidRPr="00E40CB8">
        <w:rPr>
          <w:u w:color="4F81BD"/>
          <w:lang w:val="en-AU"/>
        </w:rPr>
        <w:t xml:space="preserve">Annex I </w:t>
      </w:r>
      <w:r>
        <w:rPr>
          <w:u w:color="4F81BD"/>
          <w:lang w:val="en-AU"/>
        </w:rPr>
        <w:t>-</w:t>
      </w:r>
      <w:r w:rsidRPr="00E40CB8">
        <w:rPr>
          <w:u w:color="4F81BD"/>
          <w:lang w:val="en-AU"/>
        </w:rPr>
        <w:t xml:space="preserve"> Regulations for the testing, inspection, approval and maintenance of containers</w:t>
      </w:r>
    </w:p>
    <w:p w14:paraId="27CE3FC0" w14:textId="77777777" w:rsidR="00E40CB8" w:rsidRDefault="00E40CB8" w:rsidP="00695EB7">
      <w:pPr>
        <w:pStyle w:val="Body"/>
        <w:numPr>
          <w:ilvl w:val="1"/>
          <w:numId w:val="9"/>
        </w:numPr>
        <w:spacing w:before="60" w:after="60"/>
        <w:jc w:val="both"/>
        <w:rPr>
          <w:u w:color="4F81BD"/>
          <w:lang w:val="en-AU"/>
        </w:rPr>
      </w:pPr>
      <w:r w:rsidRPr="00E40CB8">
        <w:rPr>
          <w:u w:color="4F81BD"/>
          <w:lang w:val="en-AU"/>
        </w:rPr>
        <w:t>Annex II covers structural safety requirements and tests, including details of test procedures.</w:t>
      </w:r>
    </w:p>
    <w:p w14:paraId="09E58364" w14:textId="77777777" w:rsidR="00E40CB8" w:rsidRDefault="00E40CB8" w:rsidP="00695EB7">
      <w:pPr>
        <w:pStyle w:val="Body"/>
        <w:numPr>
          <w:ilvl w:val="0"/>
          <w:numId w:val="9"/>
        </w:numPr>
        <w:spacing w:before="60" w:after="60"/>
        <w:jc w:val="both"/>
        <w:rPr>
          <w:u w:color="4F81BD"/>
          <w:lang w:val="en-AU"/>
        </w:rPr>
      </w:pPr>
      <w:r w:rsidRPr="00E40CB8">
        <w:rPr>
          <w:u w:color="4F81BD"/>
          <w:lang w:val="en-AU"/>
        </w:rPr>
        <w:t>ISO 13562-2 Industrial variable reach trucks – Part 2: Additional stability tests for freight containers of 6m (20ft) length and above.</w:t>
      </w:r>
    </w:p>
    <w:p w14:paraId="06C8AC77" w14:textId="77777777" w:rsidR="00E40CB8" w:rsidRDefault="00E40CB8" w:rsidP="00695EB7">
      <w:pPr>
        <w:pStyle w:val="Body"/>
        <w:numPr>
          <w:ilvl w:val="0"/>
          <w:numId w:val="9"/>
        </w:numPr>
        <w:spacing w:before="60" w:after="60"/>
        <w:jc w:val="both"/>
        <w:rPr>
          <w:u w:color="4F81BD"/>
          <w:lang w:val="en-AU"/>
        </w:rPr>
      </w:pPr>
      <w:r w:rsidRPr="00E40CB8">
        <w:rPr>
          <w:u w:color="4F81BD"/>
          <w:lang w:val="en-AU"/>
        </w:rPr>
        <w:t>ISO 13563-2 Single side loading fork-lift trucks – Part 2: Additional stability tests for freight containers of 6m (20ft) length and above.</w:t>
      </w:r>
    </w:p>
    <w:p w14:paraId="3F99DD19" w14:textId="77777777" w:rsidR="00E40CB8" w:rsidRDefault="00E40CB8" w:rsidP="00695EB7">
      <w:pPr>
        <w:pStyle w:val="Body"/>
        <w:numPr>
          <w:ilvl w:val="0"/>
          <w:numId w:val="9"/>
        </w:numPr>
        <w:spacing w:before="60" w:after="60"/>
        <w:jc w:val="both"/>
        <w:rPr>
          <w:u w:color="4F81BD"/>
          <w:lang w:val="en-AU"/>
        </w:rPr>
      </w:pPr>
      <w:r w:rsidRPr="00E40CB8">
        <w:rPr>
          <w:u w:color="4F81BD"/>
          <w:lang w:val="en-AU"/>
        </w:rPr>
        <w:t xml:space="preserve">ISO 22915-9 Industrial trucks – Verification of Stability – Part 9: </w:t>
      </w:r>
      <w:proofErr w:type="spellStart"/>
      <w:r w:rsidRPr="00E40CB8">
        <w:rPr>
          <w:u w:color="4F81BD"/>
          <w:lang w:val="en-AU"/>
        </w:rPr>
        <w:t>Couterbalanced</w:t>
      </w:r>
      <w:proofErr w:type="spellEnd"/>
      <w:r w:rsidRPr="00E40CB8">
        <w:rPr>
          <w:u w:color="4F81BD"/>
          <w:lang w:val="en-AU"/>
        </w:rPr>
        <w:t xml:space="preserve"> trucks with mast handling freight containers of 6m (20ft) length and longer </w:t>
      </w:r>
    </w:p>
    <w:p w14:paraId="203C3B9D" w14:textId="77777777" w:rsidR="00E40CB8" w:rsidRDefault="00E40CB8" w:rsidP="00695EB7">
      <w:pPr>
        <w:pStyle w:val="Body"/>
        <w:numPr>
          <w:ilvl w:val="0"/>
          <w:numId w:val="9"/>
        </w:numPr>
        <w:spacing w:before="60" w:after="60"/>
        <w:jc w:val="both"/>
        <w:rPr>
          <w:u w:color="4F81BD"/>
          <w:lang w:val="en-AU"/>
        </w:rPr>
      </w:pPr>
      <w:r w:rsidRPr="00E40CB8">
        <w:rPr>
          <w:u w:color="4F81BD"/>
          <w:lang w:val="en-AU"/>
        </w:rPr>
        <w:t xml:space="preserve">ISO 14829 Freight containers – Straddle carriers for freight container handling – Calculation of stability. </w:t>
      </w:r>
    </w:p>
    <w:p w14:paraId="2CAE6051" w14:textId="77777777" w:rsidR="00E40CB8" w:rsidRDefault="00E40CB8" w:rsidP="00695EB7">
      <w:pPr>
        <w:pStyle w:val="Body"/>
        <w:numPr>
          <w:ilvl w:val="0"/>
          <w:numId w:val="9"/>
        </w:numPr>
        <w:spacing w:before="60" w:after="60"/>
        <w:jc w:val="both"/>
        <w:rPr>
          <w:u w:color="4F81BD"/>
          <w:lang w:val="en-AU"/>
        </w:rPr>
      </w:pPr>
      <w:r w:rsidRPr="00E40CB8">
        <w:rPr>
          <w:u w:color="4F81BD"/>
          <w:lang w:val="en-AU"/>
        </w:rPr>
        <w:t xml:space="preserve">OSHA 29 CFR 1918, Safety and Health Regulations for Longshoring requirements. Covers maritime industry handling of the containers. </w:t>
      </w:r>
    </w:p>
    <w:p w14:paraId="5C647564" w14:textId="77777777" w:rsidR="00E40CB8" w:rsidRDefault="00E40CB8" w:rsidP="00695EB7">
      <w:pPr>
        <w:pStyle w:val="Body"/>
        <w:numPr>
          <w:ilvl w:val="0"/>
          <w:numId w:val="9"/>
        </w:numPr>
        <w:spacing w:before="60" w:after="60"/>
        <w:jc w:val="both"/>
        <w:rPr>
          <w:u w:color="4F81BD"/>
          <w:lang w:val="en-AU"/>
        </w:rPr>
      </w:pPr>
      <w:r w:rsidRPr="00E40CB8">
        <w:rPr>
          <w:u w:color="4F81BD"/>
          <w:lang w:val="en-AU"/>
        </w:rPr>
        <w:t>Port Equipment Manufacturers Association (PEMA) Recommended Minimum Safety Specifications for Yard Equipment. Include safety recommendations for rubber tyred gantry cranes (RTGs), rail mounted gantry cranes (RMGs), automated stacking cranes (ASCs), straddle carriers, lift-trucks and reach stackers, automated guided vehicles (AGVs), terminal tractors and trailers.</w:t>
      </w:r>
    </w:p>
    <w:p w14:paraId="5A59852E" w14:textId="7FBBA2E0" w:rsidR="00F13A01" w:rsidRPr="00E40CB8" w:rsidRDefault="00E40CB8" w:rsidP="00695EB7">
      <w:pPr>
        <w:pStyle w:val="Body"/>
        <w:numPr>
          <w:ilvl w:val="0"/>
          <w:numId w:val="9"/>
        </w:numPr>
        <w:spacing w:before="60" w:after="60"/>
        <w:jc w:val="both"/>
        <w:rPr>
          <w:u w:color="4F81BD"/>
          <w:lang w:val="en-AU"/>
        </w:rPr>
      </w:pPr>
      <w:r w:rsidRPr="00E40CB8">
        <w:rPr>
          <w:u w:color="4F81BD"/>
          <w:lang w:val="en-AU"/>
        </w:rPr>
        <w:t>UK HSE ‘Health &amp; Safety in Ports’ guidance document entitled SIP003 – Guidance on Container Handling</w:t>
      </w:r>
    </w:p>
    <w:p w14:paraId="6F40D45C" w14:textId="5B7B3F43" w:rsidR="00D50914" w:rsidRPr="00EC2949" w:rsidRDefault="00D46567" w:rsidP="00406159">
      <w:pPr>
        <w:pStyle w:val="Heading2"/>
        <w:numPr>
          <w:ilvl w:val="0"/>
          <w:numId w:val="3"/>
        </w:numPr>
        <w:rPr>
          <w:rFonts w:cs="Arial"/>
          <w:lang w:val="en-AU"/>
        </w:rPr>
      </w:pPr>
      <w:r w:rsidRPr="00EC2949">
        <w:rPr>
          <w:rFonts w:cs="Arial"/>
          <w:lang w:val="en-AU"/>
        </w:rPr>
        <w:t>Safety Parameters</w:t>
      </w:r>
    </w:p>
    <w:p w14:paraId="41DE9EDE" w14:textId="77777777" w:rsidR="00F13A01" w:rsidRDefault="00F13A01" w:rsidP="00F8361B">
      <w:pPr>
        <w:pStyle w:val="Body"/>
        <w:spacing w:before="60" w:after="60"/>
        <w:ind w:left="426"/>
        <w:jc w:val="both"/>
        <w:rPr>
          <w:u w:color="4F81BD"/>
          <w:lang w:val="en-AU"/>
        </w:rPr>
      </w:pPr>
      <w:r w:rsidRPr="00EC2949">
        <w:rPr>
          <w:u w:color="4F81BD"/>
          <w:lang w:val="en-AU"/>
        </w:rPr>
        <w:t>Not applicable</w:t>
      </w:r>
      <w:r>
        <w:rPr>
          <w:u w:color="4F81BD"/>
          <w:lang w:val="en-AU"/>
        </w:rPr>
        <w:t>.</w:t>
      </w:r>
    </w:p>
    <w:p w14:paraId="61599B47" w14:textId="77777777" w:rsidR="00D50914" w:rsidRPr="00EC2949" w:rsidRDefault="00D46567">
      <w:pPr>
        <w:pStyle w:val="Heading2"/>
        <w:numPr>
          <w:ilvl w:val="0"/>
          <w:numId w:val="3"/>
        </w:numPr>
        <w:rPr>
          <w:rFonts w:cs="Arial"/>
          <w:lang w:val="en-AU"/>
        </w:rPr>
      </w:pPr>
      <w:r w:rsidRPr="00EC2949">
        <w:rPr>
          <w:rFonts w:cs="Arial"/>
          <w:lang w:val="en-AU"/>
        </w:rPr>
        <w:t>Design Life</w:t>
      </w:r>
    </w:p>
    <w:p w14:paraId="2CD11FD5" w14:textId="6C64DB89" w:rsidR="00D50914" w:rsidRPr="00EC2949" w:rsidRDefault="00B93B36" w:rsidP="00946091">
      <w:pPr>
        <w:pStyle w:val="Body"/>
        <w:spacing w:before="60" w:after="60"/>
        <w:ind w:left="426"/>
        <w:jc w:val="both"/>
        <w:rPr>
          <w:u w:color="4F81BD"/>
          <w:lang w:val="en-AU"/>
        </w:rPr>
      </w:pPr>
      <w:r w:rsidRPr="00EC2949">
        <w:rPr>
          <w:u w:color="4F81BD"/>
          <w:lang w:val="en-AU"/>
        </w:rPr>
        <w:t>Not applicable</w:t>
      </w:r>
      <w:r w:rsidR="00B23888" w:rsidRPr="00EC2949">
        <w:rPr>
          <w:u w:color="4F81BD"/>
          <w:lang w:val="en-AU"/>
        </w:rPr>
        <w:t>.</w:t>
      </w:r>
      <w:r w:rsidR="00D46567" w:rsidRPr="00EC2949">
        <w:rPr>
          <w:u w:color="4F81BD"/>
          <w:lang w:val="en-AU"/>
        </w:rPr>
        <w:t xml:space="preserve"> </w:t>
      </w:r>
    </w:p>
    <w:p w14:paraId="6DBF0093" w14:textId="77777777" w:rsidR="00D50914" w:rsidRPr="00EC2949" w:rsidRDefault="00D46567">
      <w:pPr>
        <w:pStyle w:val="Heading2"/>
        <w:numPr>
          <w:ilvl w:val="0"/>
          <w:numId w:val="3"/>
        </w:numPr>
        <w:rPr>
          <w:rFonts w:cs="Arial"/>
          <w:lang w:val="en-AU"/>
        </w:rPr>
      </w:pPr>
      <w:r w:rsidRPr="00EC2949">
        <w:rPr>
          <w:rFonts w:cs="Arial"/>
          <w:lang w:val="en-AU"/>
        </w:rPr>
        <w:t>Safe Separation</w:t>
      </w:r>
    </w:p>
    <w:p w14:paraId="539D27FE" w14:textId="6412D9C1" w:rsidR="00D50914" w:rsidRPr="00EC2949" w:rsidRDefault="00B93B36" w:rsidP="00B93B36">
      <w:pPr>
        <w:pStyle w:val="Body"/>
        <w:spacing w:before="60" w:after="60"/>
        <w:ind w:left="426"/>
        <w:jc w:val="both"/>
        <w:rPr>
          <w:color w:val="000000" w:themeColor="text1"/>
          <w:u w:color="4F81BD"/>
          <w:lang w:val="en-AU"/>
        </w:rPr>
      </w:pPr>
      <w:r w:rsidRPr="00EC2949">
        <w:rPr>
          <w:color w:val="000000" w:themeColor="text1"/>
          <w:u w:color="4F81BD"/>
          <w:lang w:val="en-AU"/>
        </w:rPr>
        <w:t>Not applicable</w:t>
      </w:r>
      <w:r w:rsidR="00B23888" w:rsidRPr="00EC2949">
        <w:rPr>
          <w:color w:val="000000" w:themeColor="text1"/>
          <w:u w:color="4F81BD"/>
          <w:lang w:val="en-AU"/>
        </w:rPr>
        <w:t>.</w:t>
      </w:r>
    </w:p>
    <w:p w14:paraId="4F143003" w14:textId="77777777" w:rsidR="00D50914" w:rsidRPr="00EC2949" w:rsidRDefault="00D46567">
      <w:pPr>
        <w:pStyle w:val="Heading2"/>
        <w:numPr>
          <w:ilvl w:val="0"/>
          <w:numId w:val="3"/>
        </w:numPr>
        <w:rPr>
          <w:rFonts w:cs="Arial"/>
          <w:lang w:val="en-AU"/>
        </w:rPr>
      </w:pPr>
      <w:r w:rsidRPr="00EC2949">
        <w:rPr>
          <w:rFonts w:cs="Arial"/>
          <w:lang w:val="en-AU"/>
        </w:rPr>
        <w:t>Special Requirements</w:t>
      </w:r>
    </w:p>
    <w:p w14:paraId="36910864" w14:textId="6EF84497" w:rsidR="00D50914" w:rsidRPr="00F13A01" w:rsidRDefault="00E40CB8" w:rsidP="00F13A01">
      <w:pPr>
        <w:pStyle w:val="Body"/>
        <w:spacing w:before="60" w:after="60"/>
        <w:ind w:left="426"/>
        <w:jc w:val="both"/>
      </w:pPr>
      <w:r w:rsidRPr="0048385A">
        <w:t xml:space="preserve">Remote control </w:t>
      </w:r>
      <w:r>
        <w:t>should</w:t>
      </w:r>
      <w:bookmarkStart w:id="0" w:name="_GoBack"/>
      <w:bookmarkEnd w:id="0"/>
      <w:r>
        <w:t xml:space="preserve"> be </w:t>
      </w:r>
      <w:r w:rsidRPr="0048385A">
        <w:t xml:space="preserve">provided so that the operator can stand clear from any potential crush zone when using </w:t>
      </w:r>
      <w:proofErr w:type="spellStart"/>
      <w:r>
        <w:t>sideloade</w:t>
      </w:r>
      <w:proofErr w:type="spellEnd"/>
      <w:r w:rsidR="00F13A01">
        <w:t>.</w:t>
      </w:r>
    </w:p>
    <w:sectPr w:rsidR="00D50914" w:rsidRPr="00F13A01">
      <w:headerReference w:type="default" r:id="rId8"/>
      <w:footerReference w:type="default" r:id="rId9"/>
      <w:headerReference w:type="first" r:id="rId10"/>
      <w:footerReference w:type="first" r:id="rId11"/>
      <w:pgSz w:w="11900" w:h="16840"/>
      <w:pgMar w:top="378" w:right="1440" w:bottom="1440" w:left="1440" w:header="993"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DAE1A" w14:textId="77777777" w:rsidR="00695EB7" w:rsidRDefault="00695EB7">
      <w:r>
        <w:separator/>
      </w:r>
    </w:p>
  </w:endnote>
  <w:endnote w:type="continuationSeparator" w:id="0">
    <w:p w14:paraId="49798A1E" w14:textId="77777777" w:rsidR="00695EB7" w:rsidRDefault="00695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Calibri"/>
    <w:panose1 w:val="020B0604020202020204"/>
    <w:charset w:val="00"/>
    <w:family w:val="swiss"/>
    <w:notTrueType/>
    <w:pitch w:val="default"/>
    <w:sig w:usb0="00000003" w:usb1="00000000" w:usb2="00000000" w:usb3="00000000" w:csb0="00000001" w:csb1="00000000"/>
  </w:font>
  <w:font w:name="ヒラギノ角ゴ Pro W3">
    <w:panose1 w:val="020B0300000000000000"/>
    <w:charset w:val="4E"/>
    <w:family w:val="auto"/>
    <w:pitch w:val="variable"/>
    <w:sig w:usb0="00000001" w:usb1="08070000" w:usb2="00000010" w:usb3="00000000" w:csb0="00020000" w:csb1="00000000"/>
  </w:font>
  <w:font w:name="Helv">
    <w:panose1 w:val="020B0604020202020204"/>
    <w:charset w:val="00"/>
    <w:family w:val="swiss"/>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BB96" w14:textId="77777777" w:rsidR="00D50914" w:rsidRDefault="00D50914">
    <w:pPr>
      <w:pStyle w:val="Footer"/>
      <w:pBdr>
        <w:bottom w:val="single" w:sz="6" w:space="0" w:color="000000"/>
      </w:pBdr>
      <w:tabs>
        <w:tab w:val="clear" w:pos="6662"/>
        <w:tab w:val="clear" w:pos="9072"/>
        <w:tab w:val="center" w:pos="6663"/>
        <w:tab w:val="right" w:pos="9000"/>
      </w:tabs>
    </w:pPr>
  </w:p>
  <w:p w14:paraId="329B2284" w14:textId="77777777" w:rsidR="00D50914" w:rsidRDefault="00D50914">
    <w:pPr>
      <w:pStyle w:val="Footer"/>
      <w:tabs>
        <w:tab w:val="clear" w:pos="6662"/>
        <w:tab w:val="clear" w:pos="9072"/>
        <w:tab w:val="center" w:pos="6663"/>
        <w:tab w:val="right" w:pos="9000"/>
      </w:tabs>
    </w:pPr>
  </w:p>
  <w:p w14:paraId="0487DE33" w14:textId="77777777" w:rsidR="00D50914" w:rsidRDefault="00D46567">
    <w:pPr>
      <w:pStyle w:val="Footer"/>
      <w:tabs>
        <w:tab w:val="clear" w:pos="6662"/>
        <w:tab w:val="clear" w:pos="9072"/>
        <w:tab w:val="center" w:pos="6663"/>
        <w:tab w:val="right" w:pos="9000"/>
      </w:tabs>
      <w:jc w:val="right"/>
    </w:pPr>
    <w:r>
      <w:t xml:space="preserve">Page </w:t>
    </w:r>
    <w:r>
      <w:fldChar w:fldCharType="begin"/>
    </w:r>
    <w:r>
      <w:instrText xml:space="preserve"> PAGE </w:instrText>
    </w:r>
    <w:r>
      <w:fldChar w:fldCharType="separate"/>
    </w:r>
    <w:r w:rsidR="0022460B">
      <w:rPr>
        <w:noProof/>
      </w:rPr>
      <w:t>2</w:t>
    </w:r>
    <w:r>
      <w:fldChar w:fldCharType="end"/>
    </w:r>
    <w:r>
      <w:t xml:space="preserve"> of </w:t>
    </w:r>
    <w:r>
      <w:fldChar w:fldCharType="begin"/>
    </w:r>
    <w:r>
      <w:instrText xml:space="preserve"> NUMPAGES </w:instrText>
    </w:r>
    <w:r>
      <w:fldChar w:fldCharType="separate"/>
    </w:r>
    <w:r w:rsidR="0022460B">
      <w:rPr>
        <w:noProof/>
      </w:rPr>
      <w:t>8</w:t>
    </w:r>
    <w:r>
      <w:fldChar w:fldCharType="end"/>
    </w:r>
  </w:p>
  <w:p w14:paraId="6B63FF80" w14:textId="77777777" w:rsidR="00D50914" w:rsidRDefault="00D50914">
    <w:pPr>
      <w:pStyle w:val="Footer"/>
      <w:tabs>
        <w:tab w:val="clear" w:pos="6662"/>
        <w:tab w:val="clear" w:pos="9072"/>
        <w:tab w:val="center" w:pos="6663"/>
        <w:tab w:val="right" w:pos="9000"/>
      </w:tabs>
      <w:rPr>
        <w:color w:val="BFBFBF"/>
        <w:u w:color="BFBFBF"/>
      </w:rPr>
    </w:pPr>
  </w:p>
  <w:p w14:paraId="764DBB72" w14:textId="77777777" w:rsidR="00D50914" w:rsidRDefault="00D46567">
    <w:pPr>
      <w:pStyle w:val="Footer"/>
      <w:tabs>
        <w:tab w:val="clear" w:pos="9072"/>
        <w:tab w:val="center" w:pos="4536"/>
        <w:tab w:val="right" w:pos="9000"/>
        <w:tab w:val="right" w:pos="9000"/>
      </w:tabs>
    </w:pPr>
    <w:r>
      <w:t>Uncontrolled if printed. Access latest version via the intranet.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D3222" w14:textId="77777777" w:rsidR="00D50914" w:rsidRDefault="00D50914">
    <w:pPr>
      <w:pStyle w:val="Footer"/>
      <w:pBdr>
        <w:bottom w:val="single" w:sz="6" w:space="0" w:color="000000"/>
      </w:pBdr>
      <w:tabs>
        <w:tab w:val="clear" w:pos="6662"/>
        <w:tab w:val="clear" w:pos="9072"/>
        <w:tab w:val="center" w:pos="6663"/>
        <w:tab w:val="right" w:pos="9000"/>
      </w:tabs>
    </w:pPr>
  </w:p>
  <w:p w14:paraId="69691239" w14:textId="77777777" w:rsidR="00D50914" w:rsidRDefault="00D50914">
    <w:pPr>
      <w:pStyle w:val="Footer"/>
      <w:tabs>
        <w:tab w:val="clear" w:pos="9072"/>
        <w:tab w:val="right" w:pos="9000"/>
      </w:tabs>
    </w:pPr>
  </w:p>
  <w:p w14:paraId="7EED06AB" w14:textId="77777777" w:rsidR="00D50914" w:rsidRDefault="00D46567">
    <w:pPr>
      <w:pStyle w:val="Footer"/>
      <w:tabs>
        <w:tab w:val="clear" w:pos="9072"/>
        <w:tab w:val="right" w:pos="9000"/>
      </w:tabs>
      <w:jc w:val="right"/>
    </w:pPr>
    <w:r>
      <w:t xml:space="preserve">Page </w:t>
    </w:r>
    <w:r>
      <w:fldChar w:fldCharType="begin"/>
    </w:r>
    <w:r>
      <w:instrText xml:space="preserve"> PAGE </w:instrText>
    </w:r>
    <w:r>
      <w:fldChar w:fldCharType="separate"/>
    </w:r>
    <w:r w:rsidR="0022460B">
      <w:rPr>
        <w:noProof/>
      </w:rPr>
      <w:t>1</w:t>
    </w:r>
    <w:r>
      <w:fldChar w:fldCharType="end"/>
    </w:r>
    <w:r>
      <w:t xml:space="preserve"> of </w:t>
    </w:r>
    <w:r>
      <w:fldChar w:fldCharType="begin"/>
    </w:r>
    <w:r>
      <w:instrText xml:space="preserve"> NUMPAGES </w:instrText>
    </w:r>
    <w:r>
      <w:fldChar w:fldCharType="separate"/>
    </w:r>
    <w:r w:rsidR="0022460B">
      <w:rPr>
        <w:noProof/>
      </w:rPr>
      <w:t>8</w:t>
    </w:r>
    <w:r>
      <w:fldChar w:fldCharType="end"/>
    </w:r>
  </w:p>
  <w:p w14:paraId="6625D8E3" w14:textId="77777777" w:rsidR="00D50914" w:rsidRDefault="00D50914">
    <w:pPr>
      <w:pStyle w:val="Footer"/>
      <w:tabs>
        <w:tab w:val="clear" w:pos="9072"/>
        <w:tab w:val="right" w:pos="9000"/>
      </w:tabs>
    </w:pPr>
  </w:p>
  <w:p w14:paraId="54FE6597" w14:textId="77777777" w:rsidR="00D50914" w:rsidRDefault="00D46567">
    <w:pPr>
      <w:pStyle w:val="Footer"/>
      <w:tabs>
        <w:tab w:val="clear" w:pos="9072"/>
        <w:tab w:val="right" w:pos="9000"/>
      </w:tabs>
    </w:pPr>
    <w:r>
      <w:t>Uncontrolled if printed. Access latest version via the intranet.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51951" w14:textId="77777777" w:rsidR="00695EB7" w:rsidRDefault="00695EB7">
      <w:r>
        <w:separator/>
      </w:r>
    </w:p>
  </w:footnote>
  <w:footnote w:type="continuationSeparator" w:id="0">
    <w:p w14:paraId="1CDF7EFC" w14:textId="77777777" w:rsidR="00695EB7" w:rsidRDefault="00695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06BE9" w14:textId="3FAF758B" w:rsidR="00D50914" w:rsidRDefault="00D46567">
    <w:pPr>
      <w:pStyle w:val="Header"/>
      <w:tabs>
        <w:tab w:val="clear" w:pos="4320"/>
        <w:tab w:val="clear" w:pos="8640"/>
        <w:tab w:val="center" w:pos="4536"/>
        <w:tab w:val="right" w:pos="9072"/>
      </w:tabs>
      <w:jc w:val="right"/>
      <w:rPr>
        <w:sz w:val="24"/>
        <w:szCs w:val="24"/>
      </w:rPr>
    </w:pPr>
    <w:r>
      <w:t>RSK-PRO-KCD</w:t>
    </w:r>
    <w:r w:rsidR="007B3A2F">
      <w:t>-</w:t>
    </w:r>
    <w:r w:rsidR="00D16BE0">
      <w:t>2</w:t>
    </w:r>
    <w:r w:rsidR="00BF724D">
      <w:t>54</w:t>
    </w:r>
    <w:r>
      <w:tab/>
    </w:r>
    <w:r>
      <w:rPr>
        <w:sz w:val="24"/>
        <w:szCs w:val="24"/>
      </w:rPr>
      <w:t>Procedure</w:t>
    </w:r>
  </w:p>
  <w:p w14:paraId="0EAA7A52" w14:textId="58CC4DD5" w:rsidR="00D50914" w:rsidRPr="00396446" w:rsidRDefault="00D16BE0" w:rsidP="00BF724D">
    <w:pPr>
      <w:pStyle w:val="ReportCoverTitle"/>
      <w:spacing w:before="120"/>
      <w:rPr>
        <w:rFonts w:cs="Arial"/>
        <w:bCs w:val="0"/>
        <w:color w:val="000000" w:themeColor="text1"/>
        <w:lang w:val="en-GB"/>
      </w:rPr>
    </w:pPr>
    <w:r w:rsidRPr="00D16BE0">
      <w:rPr>
        <w:rFonts w:cs="Arial"/>
        <w:color w:val="000000" w:themeColor="text1"/>
        <w:sz w:val="28"/>
        <w:szCs w:val="28"/>
        <w:lang w:val="en-GB"/>
      </w:rPr>
      <w:t xml:space="preserve">Preventing Operator Being </w:t>
    </w:r>
    <w:r w:rsidR="00BF724D" w:rsidRPr="00BF724D">
      <w:rPr>
        <w:rFonts w:cs="Arial"/>
        <w:color w:val="000000" w:themeColor="text1"/>
        <w:sz w:val="28"/>
        <w:szCs w:val="28"/>
        <w:lang w:val="en-GB"/>
      </w:rPr>
      <w:t>Struck during Shipping Container Handling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0FD7E" w14:textId="77777777" w:rsidR="00D50914" w:rsidRDefault="00D46567">
    <w:pPr>
      <w:pStyle w:val="ReportCoverTitle"/>
      <w:pBdr>
        <w:bottom w:val="nil"/>
      </w:pBdr>
      <w:tabs>
        <w:tab w:val="left" w:pos="2520"/>
        <w:tab w:val="left" w:pos="5040"/>
        <w:tab w:val="left" w:pos="7560"/>
      </w:tabs>
      <w:spacing w:before="1000" w:after="0"/>
      <w:jc w:val="right"/>
    </w:pPr>
    <w:r>
      <w:t>Procedure</w:t>
    </w:r>
  </w:p>
  <w:p w14:paraId="41E99B8C" w14:textId="77777777" w:rsidR="00D50914" w:rsidRDefault="00D50914">
    <w:pPr>
      <w:pStyle w:val="ReportCoverTitle"/>
      <w:pBdr>
        <w:bottom w:val="nil"/>
      </w:pBdr>
    </w:pPr>
  </w:p>
  <w:p w14:paraId="3A011C5B" w14:textId="4004FAE5" w:rsidR="00D50914" w:rsidRPr="00C63137" w:rsidRDefault="00D16BE0" w:rsidP="00EC22C6">
    <w:pPr>
      <w:pStyle w:val="ReportCoverTitle"/>
      <w:spacing w:before="120"/>
      <w:rPr>
        <w:rFonts w:cs="Arial"/>
        <w:bCs w:val="0"/>
        <w:color w:val="000000" w:themeColor="text1"/>
        <w:lang w:val="en-GB"/>
      </w:rPr>
    </w:pPr>
    <w:r>
      <w:t xml:space="preserve">Preventing </w:t>
    </w:r>
    <w:proofErr w:type="spellStart"/>
    <w:r w:rsidR="00BF724D">
      <w:t>Operator B</w:t>
    </w:r>
    <w:proofErr w:type="spellEnd"/>
    <w:r w:rsidR="00BF724D">
      <w:t>eing Struck during Shipping Container Handlin</w:t>
    </w:r>
    <w:r w:rsidR="00BF724D">
      <w:t>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3C92"/>
    <w:multiLevelType w:val="multilevel"/>
    <w:tmpl w:val="5562FB50"/>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8920239"/>
    <w:multiLevelType w:val="hybridMultilevel"/>
    <w:tmpl w:val="FECCA698"/>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 w15:restartNumberingAfterBreak="0">
    <w:nsid w:val="2EA51B0B"/>
    <w:multiLevelType w:val="hybridMultilevel"/>
    <w:tmpl w:val="3F307E3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 w15:restartNumberingAfterBreak="0">
    <w:nsid w:val="5035398D"/>
    <w:multiLevelType w:val="hybridMultilevel"/>
    <w:tmpl w:val="1A08FE80"/>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58395AC8"/>
    <w:multiLevelType w:val="multilevel"/>
    <w:tmpl w:val="5562FB50"/>
    <w:numStyleLink w:val="ImportedStyle1"/>
  </w:abstractNum>
  <w:abstractNum w:abstractNumId="5" w15:restartNumberingAfterBreak="0">
    <w:nsid w:val="695B1815"/>
    <w:multiLevelType w:val="hybridMultilevel"/>
    <w:tmpl w:val="2D1E5E3E"/>
    <w:lvl w:ilvl="0" w:tplc="0C090017">
      <w:start w:val="1"/>
      <w:numFmt w:val="lowerLetter"/>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num w:numId="1">
    <w:abstractNumId w:val="0"/>
  </w:num>
  <w:num w:numId="2">
    <w:abstractNumId w:val="4"/>
  </w:num>
  <w:num w:numId="3">
    <w:abstractNumId w:val="4"/>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4"/>
    <w:lvlOverride w:ilvl="0">
      <w:startOverride w:val="1"/>
    </w:lvlOverride>
  </w:num>
  <w:num w:numId="5">
    <w:abstractNumId w:val="4"/>
    <w:lvlOverride w:ilvl="0">
      <w:startOverride w:val="1"/>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2"/>
  </w:num>
  <w:num w:numId="8">
    <w:abstractNumId w:val="1"/>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914"/>
    <w:rsid w:val="000D32BB"/>
    <w:rsid w:val="00126526"/>
    <w:rsid w:val="00154229"/>
    <w:rsid w:val="0015688E"/>
    <w:rsid w:val="0017287B"/>
    <w:rsid w:val="001729B0"/>
    <w:rsid w:val="001A676B"/>
    <w:rsid w:val="001C056D"/>
    <w:rsid w:val="001C0581"/>
    <w:rsid w:val="001C2FCA"/>
    <w:rsid w:val="001D0E6E"/>
    <w:rsid w:val="001E0BC8"/>
    <w:rsid w:val="00207ECF"/>
    <w:rsid w:val="0022460B"/>
    <w:rsid w:val="00226C09"/>
    <w:rsid w:val="00230865"/>
    <w:rsid w:val="00242D15"/>
    <w:rsid w:val="0025062B"/>
    <w:rsid w:val="00282431"/>
    <w:rsid w:val="00282959"/>
    <w:rsid w:val="002B3590"/>
    <w:rsid w:val="002C78DF"/>
    <w:rsid w:val="002F5D87"/>
    <w:rsid w:val="003043AD"/>
    <w:rsid w:val="00304CDF"/>
    <w:rsid w:val="00312B9E"/>
    <w:rsid w:val="00314470"/>
    <w:rsid w:val="00343C7A"/>
    <w:rsid w:val="00344F84"/>
    <w:rsid w:val="003555C8"/>
    <w:rsid w:val="003759DC"/>
    <w:rsid w:val="00396446"/>
    <w:rsid w:val="003F4F6A"/>
    <w:rsid w:val="003F54FD"/>
    <w:rsid w:val="00400B5F"/>
    <w:rsid w:val="00406159"/>
    <w:rsid w:val="004129C5"/>
    <w:rsid w:val="004221D9"/>
    <w:rsid w:val="00440985"/>
    <w:rsid w:val="0044362D"/>
    <w:rsid w:val="004A111C"/>
    <w:rsid w:val="004F00B9"/>
    <w:rsid w:val="004F67E3"/>
    <w:rsid w:val="00530E24"/>
    <w:rsid w:val="00532E78"/>
    <w:rsid w:val="00553C5E"/>
    <w:rsid w:val="0056383D"/>
    <w:rsid w:val="00592EDA"/>
    <w:rsid w:val="005C2371"/>
    <w:rsid w:val="005C3A08"/>
    <w:rsid w:val="00624F0C"/>
    <w:rsid w:val="006304FE"/>
    <w:rsid w:val="00631A19"/>
    <w:rsid w:val="006349F0"/>
    <w:rsid w:val="00645C97"/>
    <w:rsid w:val="00687BAE"/>
    <w:rsid w:val="00695EB7"/>
    <w:rsid w:val="006B0FE3"/>
    <w:rsid w:val="006D200A"/>
    <w:rsid w:val="006E2E4C"/>
    <w:rsid w:val="006E57F9"/>
    <w:rsid w:val="0070569C"/>
    <w:rsid w:val="00714656"/>
    <w:rsid w:val="007319CE"/>
    <w:rsid w:val="00772102"/>
    <w:rsid w:val="0078746B"/>
    <w:rsid w:val="007B3A2F"/>
    <w:rsid w:val="007B770B"/>
    <w:rsid w:val="007D0665"/>
    <w:rsid w:val="007E5C55"/>
    <w:rsid w:val="007E6C23"/>
    <w:rsid w:val="007F2BBB"/>
    <w:rsid w:val="00805B8E"/>
    <w:rsid w:val="00822E89"/>
    <w:rsid w:val="00824350"/>
    <w:rsid w:val="008426E2"/>
    <w:rsid w:val="008665C6"/>
    <w:rsid w:val="00905DF7"/>
    <w:rsid w:val="00917345"/>
    <w:rsid w:val="00946091"/>
    <w:rsid w:val="00954D05"/>
    <w:rsid w:val="00960940"/>
    <w:rsid w:val="00962E68"/>
    <w:rsid w:val="00976AE3"/>
    <w:rsid w:val="00976EBE"/>
    <w:rsid w:val="00A55697"/>
    <w:rsid w:val="00A74FC0"/>
    <w:rsid w:val="00AA5092"/>
    <w:rsid w:val="00AC0C01"/>
    <w:rsid w:val="00AE3137"/>
    <w:rsid w:val="00AE6FFE"/>
    <w:rsid w:val="00B03CDB"/>
    <w:rsid w:val="00B1781C"/>
    <w:rsid w:val="00B23888"/>
    <w:rsid w:val="00B61A45"/>
    <w:rsid w:val="00B638A0"/>
    <w:rsid w:val="00B74DFA"/>
    <w:rsid w:val="00B8651D"/>
    <w:rsid w:val="00B86E30"/>
    <w:rsid w:val="00B93B36"/>
    <w:rsid w:val="00BA406C"/>
    <w:rsid w:val="00BB544D"/>
    <w:rsid w:val="00BF724D"/>
    <w:rsid w:val="00C50E71"/>
    <w:rsid w:val="00C547AF"/>
    <w:rsid w:val="00C605A6"/>
    <w:rsid w:val="00C63137"/>
    <w:rsid w:val="00C67A57"/>
    <w:rsid w:val="00C81E03"/>
    <w:rsid w:val="00CA1764"/>
    <w:rsid w:val="00CB5123"/>
    <w:rsid w:val="00CD4266"/>
    <w:rsid w:val="00CD507F"/>
    <w:rsid w:val="00D14EF6"/>
    <w:rsid w:val="00D16BE0"/>
    <w:rsid w:val="00D2494B"/>
    <w:rsid w:val="00D46567"/>
    <w:rsid w:val="00D50914"/>
    <w:rsid w:val="00D874ED"/>
    <w:rsid w:val="00D969A2"/>
    <w:rsid w:val="00E362F0"/>
    <w:rsid w:val="00E40289"/>
    <w:rsid w:val="00E40CB8"/>
    <w:rsid w:val="00EC16A7"/>
    <w:rsid w:val="00EC22C6"/>
    <w:rsid w:val="00EC2949"/>
    <w:rsid w:val="00ED2A7C"/>
    <w:rsid w:val="00F13A01"/>
    <w:rsid w:val="00F8361B"/>
    <w:rsid w:val="00FA3F90"/>
    <w:rsid w:val="00FD0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19DC5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25062B"/>
    <w:rPr>
      <w:sz w:val="24"/>
      <w:szCs w:val="24"/>
      <w:lang w:val="en-AU" w:eastAsia="en-US"/>
    </w:rPr>
  </w:style>
  <w:style w:type="paragraph" w:styleId="Heading2">
    <w:name w:val="heading 2"/>
    <w:next w:val="Body"/>
    <w:qFormat/>
    <w:pPr>
      <w:keepNext/>
      <w:spacing w:before="240" w:after="120"/>
      <w:outlineLvl w:val="1"/>
    </w:pPr>
    <w:rPr>
      <w:rFonts w:ascii="Arial" w:hAnsi="Arial" w:cs="Arial Unicode MS"/>
      <w:b/>
      <w:bCs/>
      <w:color w:val="000000"/>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spacing w:after="120"/>
    </w:pPr>
    <w:rPr>
      <w:rFonts w:ascii="Arial" w:hAnsi="Arial" w:cs="Arial Unicode MS"/>
      <w:color w:val="000000"/>
      <w:sz w:val="22"/>
      <w:szCs w:val="22"/>
      <w:u w:color="000000"/>
      <w:lang w:val="en-US"/>
    </w:rPr>
  </w:style>
  <w:style w:type="paragraph" w:styleId="Footer">
    <w:name w:val="footer"/>
    <w:pPr>
      <w:tabs>
        <w:tab w:val="center" w:pos="6662"/>
        <w:tab w:val="right" w:pos="9072"/>
      </w:tabs>
      <w:jc w:val="center"/>
    </w:pPr>
    <w:rPr>
      <w:rFonts w:ascii="Arial" w:eastAsia="Arial" w:hAnsi="Arial" w:cs="Arial"/>
      <w:color w:val="000000"/>
      <w:u w:color="000000"/>
      <w:lang w:val="en-US"/>
    </w:rPr>
  </w:style>
  <w:style w:type="paragraph" w:customStyle="1" w:styleId="ReportCoverTitle">
    <w:name w:val="Report Cover Title"/>
    <w:pPr>
      <w:pBdr>
        <w:bottom w:val="single" w:sz="6" w:space="0" w:color="000000"/>
      </w:pBdr>
      <w:tabs>
        <w:tab w:val="center" w:pos="4536"/>
        <w:tab w:val="right" w:pos="9000"/>
      </w:tabs>
      <w:spacing w:after="120"/>
      <w:jc w:val="center"/>
    </w:pPr>
    <w:rPr>
      <w:rFonts w:ascii="Arial" w:hAnsi="Arial" w:cs="Arial Unicode MS"/>
      <w:b/>
      <w:bCs/>
      <w:color w:val="000000"/>
      <w:sz w:val="44"/>
      <w:szCs w:val="44"/>
      <w:u w:color="000000"/>
      <w:lang w:val="en-US"/>
    </w:rPr>
  </w:style>
  <w:style w:type="paragraph" w:customStyle="1" w:styleId="ReportCoverText">
    <w:name w:val="Report Cover Text"/>
    <w:pPr>
      <w:spacing w:after="120"/>
      <w:jc w:val="center"/>
    </w:pPr>
    <w:rPr>
      <w:rFonts w:ascii="Arial" w:eastAsia="Arial" w:hAnsi="Arial" w:cs="Arial"/>
      <w:color w:val="000000"/>
      <w:sz w:val="36"/>
      <w:szCs w:val="36"/>
      <w:u w:color="000000"/>
      <w:lang w:val="en-US"/>
    </w:rPr>
  </w:style>
  <w:style w:type="paragraph" w:customStyle="1" w:styleId="Body">
    <w:name w:val="Body"/>
    <w:pPr>
      <w:spacing w:after="120"/>
    </w:pPr>
    <w:rPr>
      <w:rFonts w:ascii="Arial" w:eastAsia="Arial" w:hAnsi="Arial" w:cs="Arial"/>
      <w:color w:val="000000"/>
      <w:sz w:val="22"/>
      <w:szCs w:val="22"/>
      <w:u w:color="000000"/>
    </w:rPr>
  </w:style>
  <w:style w:type="numbering" w:customStyle="1" w:styleId="ImportedStyle1">
    <w:name w:val="Imported Style 1"/>
    <w:pPr>
      <w:numPr>
        <w:numId w:val="1"/>
      </w:numPr>
    </w:pPr>
  </w:style>
  <w:style w:type="paragraph" w:styleId="ListParagraph">
    <w:name w:val="List Paragraph"/>
    <w:basedOn w:val="Normal"/>
    <w:uiPriority w:val="72"/>
    <w:qFormat/>
    <w:rsid w:val="00CD507F"/>
    <w:pPr>
      <w:ind w:left="720"/>
      <w:contextualSpacing/>
    </w:pPr>
  </w:style>
  <w:style w:type="paragraph" w:styleId="BalloonText">
    <w:name w:val="Balloon Text"/>
    <w:basedOn w:val="Normal"/>
    <w:link w:val="BalloonTextChar"/>
    <w:semiHidden/>
    <w:rsid w:val="00B03CDB"/>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Tahoma" w:eastAsia="Times New Roman" w:hAnsi="Tahoma" w:cs="Tahoma"/>
      <w:sz w:val="16"/>
      <w:szCs w:val="16"/>
      <w:bdr w:val="none" w:sz="0" w:space="0" w:color="auto"/>
    </w:rPr>
  </w:style>
  <w:style w:type="character" w:customStyle="1" w:styleId="BalloonTextChar">
    <w:name w:val="Balloon Text Char"/>
    <w:basedOn w:val="DefaultParagraphFont"/>
    <w:link w:val="BalloonText"/>
    <w:semiHidden/>
    <w:rsid w:val="00B03CDB"/>
    <w:rPr>
      <w:rFonts w:ascii="Tahoma" w:eastAsia="Times New Roman" w:hAnsi="Tahoma" w:cs="Tahoma"/>
      <w:sz w:val="16"/>
      <w:szCs w:val="16"/>
      <w:bdr w:val="none" w:sz="0" w:space="0" w:color="auto"/>
      <w:lang w:val="en-AU" w:eastAsia="en-US"/>
    </w:rPr>
  </w:style>
  <w:style w:type="paragraph" w:customStyle="1" w:styleId="Default">
    <w:name w:val="Default"/>
    <w:rsid w:val="0040615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AU" w:eastAsia="en-AU"/>
    </w:rPr>
  </w:style>
  <w:style w:type="character" w:customStyle="1" w:styleId="tgc">
    <w:name w:val="_tgc"/>
    <w:basedOn w:val="DefaultParagraphFont"/>
    <w:rsid w:val="00D14EF6"/>
  </w:style>
  <w:style w:type="character" w:customStyle="1" w:styleId="A1">
    <w:name w:val="A1"/>
    <w:uiPriority w:val="99"/>
    <w:rsid w:val="00F13A01"/>
    <w:rPr>
      <w:rFonts w:cs="Frutiger 45 Light"/>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99C84002B06B439DA773BCD5D7BD89" ma:contentTypeVersion="0" ma:contentTypeDescription="Create a new document." ma:contentTypeScope="" ma:versionID="93cce71f2c3fb9a7609fae389cb10a5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BD2A2C-BBD1-4AA3-8B84-BEE1E0C11F21}"/>
</file>

<file path=customXml/itemProps2.xml><?xml version="1.0" encoding="utf-8"?>
<ds:datastoreItem xmlns:ds="http://schemas.openxmlformats.org/officeDocument/2006/customXml" ds:itemID="{71819ABE-B1D2-4687-A033-315E532C3E1C}"/>
</file>

<file path=customXml/itemProps3.xml><?xml version="1.0" encoding="utf-8"?>
<ds:datastoreItem xmlns:ds="http://schemas.openxmlformats.org/officeDocument/2006/customXml" ds:itemID="{2BF2B0E4-A1D8-46AB-B0F7-37E33346BD51}"/>
</file>

<file path=docProps/app.xml><?xml version="1.0" encoding="utf-8"?>
<Properties xmlns="http://schemas.openxmlformats.org/officeDocument/2006/extended-properties" xmlns:vt="http://schemas.openxmlformats.org/officeDocument/2006/docPropsVTypes">
  <Template>Normal.dotm</Template>
  <TotalTime>1</TotalTime>
  <Pages>7</Pages>
  <Words>1528</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Shayne Arthur</cp:lastModifiedBy>
  <cp:revision>2</cp:revision>
  <dcterms:created xsi:type="dcterms:W3CDTF">2019-01-12T02:37:00Z</dcterms:created>
  <dcterms:modified xsi:type="dcterms:W3CDTF">2019-01-12T02:37:00Z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0x010100D999C84002B06B439DA773BCD5D7BD89</vt:lpwstr>
  </property>
</Properties>
</file>