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2C58F1" w:rsidRDefault="00D46567">
      <w:pPr>
        <w:pStyle w:val="ReportCoverText"/>
        <w:rPr>
          <w:lang w:val="en-AU"/>
        </w:rPr>
      </w:pPr>
      <w:r w:rsidRPr="002C58F1">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2C58F1" w:rsidRDefault="00D46567">
      <w:pPr>
        <w:pStyle w:val="ReportCoverText"/>
        <w:rPr>
          <w:b/>
          <w:bCs/>
          <w:sz w:val="40"/>
          <w:szCs w:val="40"/>
          <w:lang w:val="en-AU"/>
        </w:rPr>
      </w:pPr>
      <w:r w:rsidRPr="002C58F1">
        <w:rPr>
          <w:rFonts w:eastAsia="Arial Unicode MS"/>
          <w:b/>
          <w:bCs/>
          <w:sz w:val="40"/>
          <w:szCs w:val="40"/>
          <w:lang w:val="en-AU"/>
        </w:rPr>
        <w:t>Key Control Data Sheet</w:t>
      </w:r>
    </w:p>
    <w:p w14:paraId="14BF3103" w14:textId="77777777" w:rsidR="00D50914" w:rsidRPr="002C58F1" w:rsidRDefault="00D50914">
      <w:pPr>
        <w:pStyle w:val="ReportCoverText"/>
        <w:rPr>
          <w:lang w:val="en-AU"/>
        </w:rPr>
      </w:pPr>
    </w:p>
    <w:p w14:paraId="05C80E3E" w14:textId="4338DF1C" w:rsidR="00D50914" w:rsidRPr="002C58F1" w:rsidRDefault="00D46567">
      <w:pPr>
        <w:pStyle w:val="ReportCoverText"/>
        <w:rPr>
          <w:lang w:val="en-AU"/>
        </w:rPr>
      </w:pPr>
      <w:r w:rsidRPr="002C58F1">
        <w:rPr>
          <w:rFonts w:eastAsia="Arial Unicode MS"/>
          <w:lang w:val="en-AU"/>
        </w:rPr>
        <w:t xml:space="preserve">Procedure Number: </w:t>
      </w:r>
      <w:r w:rsidRPr="002C58F1">
        <w:rPr>
          <w:rFonts w:eastAsia="Arial Unicode MS"/>
          <w:u w:color="4F81BD"/>
          <w:lang w:val="en-AU"/>
        </w:rPr>
        <w:t>RSK-PRO-KCD</w:t>
      </w:r>
      <w:r w:rsidR="007B3A2F" w:rsidRPr="002C58F1">
        <w:rPr>
          <w:rFonts w:eastAsia="Arial Unicode MS"/>
          <w:u w:color="4F81BD"/>
          <w:lang w:val="en-AU"/>
        </w:rPr>
        <w:t>-</w:t>
      </w:r>
      <w:r w:rsidR="00B323CB" w:rsidRPr="002C58F1">
        <w:rPr>
          <w:rFonts w:eastAsia="Arial Unicode MS"/>
          <w:u w:color="4F81BD"/>
          <w:lang w:val="en-AU"/>
        </w:rPr>
        <w:t>1</w:t>
      </w:r>
      <w:r w:rsidR="002C58F1" w:rsidRPr="002C58F1">
        <w:rPr>
          <w:rFonts w:eastAsia="Arial Unicode MS"/>
          <w:u w:color="4F81BD"/>
          <w:lang w:val="en-AU"/>
        </w:rPr>
        <w:t>67</w:t>
      </w:r>
    </w:p>
    <w:p w14:paraId="66D7254E" w14:textId="77777777" w:rsidR="00D50914" w:rsidRPr="002C58F1" w:rsidRDefault="00D50914">
      <w:pPr>
        <w:pStyle w:val="ReportCoverText"/>
        <w:rPr>
          <w:lang w:val="en-AU"/>
        </w:rPr>
      </w:pPr>
    </w:p>
    <w:p w14:paraId="66BF17CC" w14:textId="77777777" w:rsidR="00D50914" w:rsidRPr="002C58F1" w:rsidRDefault="00D46567">
      <w:pPr>
        <w:pStyle w:val="ReportCoverText"/>
        <w:rPr>
          <w:lang w:val="en-AU"/>
        </w:rPr>
      </w:pPr>
      <w:r w:rsidRPr="002C58F1">
        <w:rPr>
          <w:rFonts w:eastAsia="Arial Unicode MS"/>
          <w:lang w:val="en-AU"/>
        </w:rPr>
        <w:t xml:space="preserve">Scope of Application: Ok </w:t>
      </w:r>
      <w:proofErr w:type="spellStart"/>
      <w:r w:rsidRPr="002C58F1">
        <w:rPr>
          <w:rFonts w:eastAsia="Arial Unicode MS"/>
          <w:lang w:val="en-AU"/>
        </w:rPr>
        <w:t>Tedi</w:t>
      </w:r>
      <w:proofErr w:type="spellEnd"/>
      <w:r w:rsidRPr="002C58F1">
        <w:rPr>
          <w:rFonts w:eastAsia="Arial Unicode MS"/>
          <w:lang w:val="en-AU"/>
        </w:rPr>
        <w:t xml:space="preserve"> Mining Limited</w:t>
      </w:r>
    </w:p>
    <w:p w14:paraId="4C00CD9E" w14:textId="77777777" w:rsidR="00D50914" w:rsidRPr="002C58F1" w:rsidRDefault="00D50914">
      <w:pPr>
        <w:pStyle w:val="ReportCoverText"/>
        <w:rPr>
          <w:lang w:val="en-AU"/>
        </w:rPr>
      </w:pPr>
    </w:p>
    <w:p w14:paraId="55DCFE70" w14:textId="617541CA" w:rsidR="00D50914" w:rsidRPr="002C58F1" w:rsidRDefault="00D46567">
      <w:pPr>
        <w:pStyle w:val="ReportCoverText"/>
        <w:rPr>
          <w:i/>
          <w:iCs/>
          <w:color w:val="4F81BD"/>
          <w:u w:color="4F81BD"/>
          <w:lang w:val="en-AU"/>
        </w:rPr>
      </w:pPr>
      <w:r w:rsidRPr="002C58F1">
        <w:rPr>
          <w:rFonts w:eastAsia="Arial Unicode MS"/>
          <w:lang w:val="en-AU"/>
        </w:rPr>
        <w:t>Issued</w:t>
      </w:r>
      <w:r w:rsidRPr="002C58F1">
        <w:rPr>
          <w:rFonts w:eastAsia="Arial Unicode MS"/>
          <w:color w:val="000000" w:themeColor="text1"/>
          <w:lang w:val="en-AU"/>
        </w:rPr>
        <w:t xml:space="preserve">:  </w:t>
      </w:r>
      <w:proofErr w:type="gramStart"/>
      <w:r w:rsidR="002C58F1" w:rsidRPr="002C58F1">
        <w:rPr>
          <w:rFonts w:eastAsia="Arial Unicode MS"/>
          <w:iCs/>
          <w:color w:val="000000" w:themeColor="text1"/>
          <w:u w:color="4F81BD"/>
          <w:lang w:val="en-AU"/>
        </w:rPr>
        <w:t>March</w:t>
      </w:r>
      <w:r w:rsidRPr="002C58F1">
        <w:rPr>
          <w:rFonts w:eastAsia="Arial Unicode MS"/>
          <w:iCs/>
          <w:color w:val="000000" w:themeColor="text1"/>
          <w:u w:color="4F81BD"/>
          <w:lang w:val="en-AU"/>
        </w:rPr>
        <w:t>,</w:t>
      </w:r>
      <w:proofErr w:type="gramEnd"/>
      <w:r w:rsidRPr="002C58F1">
        <w:rPr>
          <w:rFonts w:eastAsia="Arial Unicode MS"/>
          <w:iCs/>
          <w:color w:val="000000" w:themeColor="text1"/>
          <w:u w:color="4F81BD"/>
          <w:lang w:val="en-AU"/>
        </w:rPr>
        <w:t xml:space="preserve"> </w:t>
      </w:r>
      <w:r w:rsidR="007B3A2F" w:rsidRPr="002C58F1">
        <w:rPr>
          <w:rFonts w:eastAsia="Arial Unicode MS"/>
          <w:iCs/>
          <w:color w:val="000000" w:themeColor="text1"/>
          <w:u w:color="4F81BD"/>
          <w:lang w:val="en-AU"/>
        </w:rPr>
        <w:t>201</w:t>
      </w:r>
      <w:r w:rsidR="002C58F1" w:rsidRPr="002C58F1">
        <w:rPr>
          <w:rFonts w:eastAsia="Arial Unicode MS"/>
          <w:iCs/>
          <w:color w:val="000000" w:themeColor="text1"/>
          <w:u w:color="4F81BD"/>
          <w:lang w:val="en-AU"/>
        </w:rPr>
        <w:t>9</w:t>
      </w:r>
    </w:p>
    <w:p w14:paraId="1A19F8F0" w14:textId="77777777" w:rsidR="00D50914" w:rsidRPr="002C58F1" w:rsidRDefault="00D50914">
      <w:pPr>
        <w:pStyle w:val="ReportCoverText"/>
        <w:rPr>
          <w:lang w:val="en-AU"/>
        </w:rPr>
      </w:pPr>
    </w:p>
    <w:p w14:paraId="716FD864" w14:textId="77777777" w:rsidR="00D50914" w:rsidRPr="002C58F1" w:rsidRDefault="00D46567">
      <w:pPr>
        <w:pStyle w:val="ReportCoverText"/>
        <w:rPr>
          <w:lang w:val="en-AU"/>
        </w:rPr>
      </w:pPr>
      <w:r w:rsidRPr="002C58F1">
        <w:rPr>
          <w:rFonts w:eastAsia="Arial Unicode MS"/>
          <w:lang w:val="en-AU"/>
        </w:rPr>
        <w:t>Document Owner: Manager – OHS &amp; Training</w:t>
      </w:r>
    </w:p>
    <w:p w14:paraId="6ACD5FEC" w14:textId="77777777" w:rsidR="00D50914" w:rsidRPr="002C58F1" w:rsidRDefault="00D50914">
      <w:pPr>
        <w:pStyle w:val="Body"/>
        <w:rPr>
          <w:b/>
          <w:bCs/>
          <w:lang w:val="en-AU"/>
        </w:rPr>
      </w:pPr>
    </w:p>
    <w:p w14:paraId="63E5DAA4" w14:textId="77777777" w:rsidR="00D50914" w:rsidRPr="002C58F1" w:rsidRDefault="00D50914">
      <w:pPr>
        <w:pStyle w:val="Body"/>
        <w:rPr>
          <w:b/>
          <w:bCs/>
          <w:color w:val="000000" w:themeColor="text1"/>
          <w:lang w:val="en-AU"/>
        </w:rPr>
      </w:pPr>
    </w:p>
    <w:p w14:paraId="57273FB1" w14:textId="77777777" w:rsidR="002C58F1" w:rsidRPr="002C58F1" w:rsidRDefault="00D46567"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rPr>
      </w:pPr>
      <w:r w:rsidRPr="002C58F1">
        <w:rPr>
          <w:rFonts w:ascii="Arial" w:hAnsi="Arial" w:cs="Arial"/>
          <w:b/>
          <w:bCs/>
          <w:color w:val="000000" w:themeColor="text1"/>
          <w:sz w:val="28"/>
          <w:szCs w:val="28"/>
        </w:rPr>
        <w:t>Why is the Control Important</w:t>
      </w:r>
      <w:r w:rsidRPr="002C58F1">
        <w:rPr>
          <w:rFonts w:ascii="Arial" w:hAnsi="Arial" w:cs="Arial"/>
          <w:color w:val="000000" w:themeColor="text1"/>
          <w:sz w:val="28"/>
          <w:szCs w:val="28"/>
        </w:rPr>
        <w:t xml:space="preserve"> –</w:t>
      </w:r>
      <w:r w:rsidRPr="002C58F1">
        <w:rPr>
          <w:rFonts w:ascii="Arial" w:hAnsi="Arial" w:cs="Arial"/>
          <w:color w:val="000000" w:themeColor="text1"/>
        </w:rPr>
        <w:t xml:space="preserve"> </w:t>
      </w:r>
    </w:p>
    <w:p w14:paraId="288E6677" w14:textId="31A87815" w:rsidR="002C58F1" w:rsidRPr="002C58F1" w:rsidRDefault="002C58F1" w:rsidP="002C58F1">
      <w:pPr>
        <w:rPr>
          <w:rFonts w:ascii="Arial" w:hAnsi="Arial" w:cs="Arial"/>
          <w:sz w:val="22"/>
          <w:szCs w:val="22"/>
        </w:rPr>
      </w:pPr>
      <w:r w:rsidRPr="002C58F1">
        <w:rPr>
          <w:rFonts w:ascii="Arial" w:hAnsi="Arial" w:cs="Arial"/>
          <w:sz w:val="22"/>
          <w:szCs w:val="22"/>
        </w:rPr>
        <w:t xml:space="preserve">Contaminated water sources may affect people </w:t>
      </w:r>
      <w:r w:rsidRPr="002C58F1">
        <w:rPr>
          <w:rFonts w:ascii="Arial" w:hAnsi="Arial" w:cs="Arial"/>
          <w:sz w:val="22"/>
          <w:szCs w:val="22"/>
        </w:rPr>
        <w:t xml:space="preserve">and </w:t>
      </w:r>
      <w:r w:rsidRPr="002C58F1">
        <w:rPr>
          <w:rFonts w:ascii="Arial" w:hAnsi="Arial" w:cs="Arial"/>
          <w:sz w:val="22"/>
          <w:szCs w:val="22"/>
        </w:rPr>
        <w:t>expose</w:t>
      </w:r>
      <w:r w:rsidRPr="002C58F1">
        <w:rPr>
          <w:rFonts w:ascii="Arial" w:hAnsi="Arial" w:cs="Arial"/>
          <w:sz w:val="22"/>
          <w:szCs w:val="22"/>
        </w:rPr>
        <w:t xml:space="preserve"> them</w:t>
      </w:r>
      <w:r w:rsidRPr="002C58F1">
        <w:rPr>
          <w:rFonts w:ascii="Arial" w:hAnsi="Arial" w:cs="Arial"/>
          <w:sz w:val="22"/>
          <w:szCs w:val="22"/>
        </w:rPr>
        <w:t xml:space="preserve"> to severe illness with the potential for fatality.</w:t>
      </w:r>
    </w:p>
    <w:p w14:paraId="27138736" w14:textId="77777777" w:rsidR="002C58F1" w:rsidRPr="002C58F1" w:rsidRDefault="002C58F1" w:rsidP="002C58F1">
      <w:pPr>
        <w:rPr>
          <w:rFonts w:ascii="Arial" w:hAnsi="Arial" w:cs="Arial"/>
          <w:sz w:val="22"/>
          <w:szCs w:val="22"/>
        </w:rPr>
      </w:pPr>
    </w:p>
    <w:p w14:paraId="79FD9D4C" w14:textId="3336E455" w:rsidR="002C58F1" w:rsidRPr="002C58F1" w:rsidRDefault="002C58F1" w:rsidP="002C58F1">
      <w:pPr>
        <w:rPr>
          <w:rFonts w:ascii="Arial" w:hAnsi="Arial" w:cs="Arial"/>
          <w:color w:val="000000" w:themeColor="text1"/>
          <w:sz w:val="22"/>
          <w:szCs w:val="22"/>
        </w:rPr>
      </w:pPr>
      <w:r w:rsidRPr="002C58F1">
        <w:rPr>
          <w:rFonts w:ascii="Arial" w:hAnsi="Arial" w:cs="Arial"/>
          <w:color w:val="000000" w:themeColor="text1"/>
          <w:sz w:val="22"/>
          <w:szCs w:val="22"/>
        </w:rPr>
        <w:t xml:space="preserve">Potable or drinking water must be free of both pathogens (disease causing organisms) and chemical contaminants that have been known to cause undesirable health effects. </w:t>
      </w:r>
    </w:p>
    <w:p w14:paraId="5BE24FD1" w14:textId="77777777" w:rsidR="002C58F1" w:rsidRPr="002C58F1" w:rsidRDefault="002C58F1" w:rsidP="002C58F1">
      <w:pPr>
        <w:rPr>
          <w:rFonts w:ascii="Arial" w:hAnsi="Arial" w:cs="Arial"/>
          <w:color w:val="000000" w:themeColor="text1"/>
          <w:sz w:val="22"/>
          <w:szCs w:val="22"/>
        </w:rPr>
      </w:pPr>
    </w:p>
    <w:p w14:paraId="505B7A5E" w14:textId="21DE4CEC" w:rsidR="00D50914" w:rsidRPr="002C58F1" w:rsidRDefault="002C58F1" w:rsidP="002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sz w:val="22"/>
          <w:szCs w:val="22"/>
        </w:rPr>
      </w:pPr>
      <w:r w:rsidRPr="002C58F1">
        <w:rPr>
          <w:rFonts w:ascii="Arial" w:hAnsi="Arial" w:cs="Arial"/>
          <w:color w:val="000000" w:themeColor="text1"/>
          <w:sz w:val="22"/>
          <w:szCs w:val="22"/>
        </w:rPr>
        <w:t>Where reticulated water is unavailable or unsuitable for drinking, potable water must be provided. Where water treatment systems</w:t>
      </w:r>
      <w:r w:rsidRPr="002C58F1">
        <w:rPr>
          <w:rFonts w:ascii="Arial" w:hAnsi="Arial" w:cs="Arial"/>
          <w:color w:val="000000" w:themeColor="text1"/>
          <w:sz w:val="22"/>
          <w:szCs w:val="22"/>
        </w:rPr>
        <w:t xml:space="preserve"> are in operation</w:t>
      </w:r>
      <w:r w:rsidRPr="002C58F1">
        <w:rPr>
          <w:rFonts w:ascii="Arial" w:hAnsi="Arial" w:cs="Arial"/>
          <w:color w:val="000000" w:themeColor="text1"/>
          <w:sz w:val="22"/>
          <w:szCs w:val="22"/>
        </w:rPr>
        <w:t>, water sampling and testing must be done</w:t>
      </w:r>
      <w:r w:rsidR="00A07016" w:rsidRPr="002C58F1">
        <w:rPr>
          <w:rFonts w:ascii="Arial" w:hAnsi="Arial" w:cs="Arial"/>
          <w:color w:val="000000" w:themeColor="text1"/>
          <w:sz w:val="22"/>
          <w:szCs w:val="22"/>
        </w:rPr>
        <w:t>.</w:t>
      </w:r>
    </w:p>
    <w:p w14:paraId="3E25B3B5" w14:textId="2C9A1B85" w:rsidR="00D50914" w:rsidRPr="002C58F1" w:rsidRDefault="00D46567" w:rsidP="006806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lang w:val="en-US" w:eastAsia="en-GB"/>
        </w:rPr>
      </w:pPr>
      <w:r w:rsidRPr="002C58F1">
        <w:rPr>
          <w:rFonts w:ascii="Arial" w:hAnsi="Arial" w:cs="Arial"/>
          <w:b/>
          <w:bCs/>
          <w:sz w:val="28"/>
          <w:szCs w:val="28"/>
        </w:rPr>
        <w:t>Exemption</w:t>
      </w:r>
      <w:r w:rsidRPr="002C58F1">
        <w:rPr>
          <w:rFonts w:ascii="Arial" w:hAnsi="Arial" w:cs="Arial"/>
          <w:sz w:val="28"/>
          <w:szCs w:val="28"/>
        </w:rPr>
        <w:t xml:space="preserve"> –</w:t>
      </w:r>
      <w:r w:rsidRPr="002C58F1">
        <w:rPr>
          <w:rFonts w:ascii="Arial" w:hAnsi="Arial" w:cs="Arial"/>
        </w:rPr>
        <w:t xml:space="preserve"> </w:t>
      </w:r>
      <w:bookmarkStart w:id="0" w:name="_GoBack"/>
      <w:r w:rsidR="00A07016" w:rsidRPr="002C58F1">
        <w:rPr>
          <w:rFonts w:ascii="Arial" w:hAnsi="Arial" w:cs="Arial"/>
          <w:color w:val="000000" w:themeColor="text1"/>
          <w:sz w:val="22"/>
          <w:szCs w:val="22"/>
        </w:rPr>
        <w:t xml:space="preserve">This KCDS </w:t>
      </w:r>
      <w:r w:rsidR="002C58F1" w:rsidRPr="002C58F1">
        <w:rPr>
          <w:rFonts w:ascii="Arial" w:hAnsi="Arial" w:cs="Arial"/>
          <w:sz w:val="22"/>
          <w:szCs w:val="22"/>
        </w:rPr>
        <w:t>does not apply for water used for manufacturing process</w:t>
      </w:r>
      <w:r w:rsidR="007F2BBB" w:rsidRPr="002C58F1">
        <w:rPr>
          <w:rFonts w:ascii="Arial" w:hAnsi="Arial" w:cs="Arial"/>
          <w:color w:val="000000" w:themeColor="text1"/>
          <w:sz w:val="22"/>
          <w:szCs w:val="22"/>
        </w:rPr>
        <w:t>.</w:t>
      </w:r>
      <w:bookmarkEnd w:id="0"/>
      <w:r w:rsidRPr="002C58F1">
        <w:rPr>
          <w:rFonts w:ascii="Arial" w:hAnsi="Arial" w:cs="Arial"/>
        </w:rPr>
        <w:br w:type="page"/>
      </w:r>
    </w:p>
    <w:p w14:paraId="476C0144" w14:textId="77777777" w:rsidR="00D50914" w:rsidRPr="002C58F1" w:rsidRDefault="00D46567">
      <w:pPr>
        <w:pStyle w:val="Body"/>
        <w:ind w:left="360"/>
        <w:jc w:val="center"/>
        <w:rPr>
          <w:b/>
          <w:bCs/>
          <w:sz w:val="32"/>
          <w:szCs w:val="32"/>
          <w:lang w:val="en-AU"/>
        </w:rPr>
      </w:pPr>
      <w:r w:rsidRPr="002C58F1">
        <w:rPr>
          <w:b/>
          <w:bCs/>
          <w:sz w:val="32"/>
          <w:szCs w:val="32"/>
          <w:lang w:val="en-AU"/>
        </w:rPr>
        <w:lastRenderedPageBreak/>
        <w:t>Operational Requirements</w:t>
      </w:r>
    </w:p>
    <w:p w14:paraId="157977BB" w14:textId="77777777" w:rsidR="00D50914" w:rsidRPr="002C58F1" w:rsidRDefault="00D46567">
      <w:pPr>
        <w:pStyle w:val="Heading2"/>
        <w:numPr>
          <w:ilvl w:val="0"/>
          <w:numId w:val="2"/>
        </w:numPr>
        <w:rPr>
          <w:rFonts w:cs="Arial"/>
          <w:lang w:val="en-AU"/>
        </w:rPr>
      </w:pPr>
      <w:r w:rsidRPr="002C58F1">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2C58F1"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0DE169B2" w:rsidR="00D50914"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Where water treatment systems (e.g. chlorination, UV etc.)</w:t>
            </w:r>
            <w:r w:rsidRPr="002C58F1">
              <w:rPr>
                <w:rFonts w:eastAsia="ヒラギノ角ゴ Pro W3"/>
              </w:rPr>
              <w:t xml:space="preserve"> are operated</w:t>
            </w:r>
            <w:r w:rsidRPr="002C58F1">
              <w:rPr>
                <w:rFonts w:eastAsia="ヒラギノ角ゴ Pro W3"/>
              </w:rPr>
              <w:t>, planned maintenance and calibration of equipment is carried out according to manufacturer’s recommendations</w:t>
            </w:r>
            <w:r w:rsidR="00B323CB" w:rsidRPr="002C58F1">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1F2A33B4" w:rsidR="00D50914"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 xml:space="preserve">Potable bottled or bulk drinking water is supplied when potable/drinking water is not </w:t>
            </w:r>
            <w:proofErr w:type="gramStart"/>
            <w:r w:rsidRPr="002C58F1">
              <w:rPr>
                <w:rFonts w:eastAsia="ヒラギノ角ゴ Pro W3"/>
              </w:rPr>
              <w:t>available</w:t>
            </w:r>
            <w:proofErr w:type="gramEnd"/>
            <w:r w:rsidRPr="002C58F1">
              <w:rPr>
                <w:rFonts w:eastAsia="ヒラギノ角ゴ Pro W3"/>
              </w:rPr>
              <w:t xml:space="preserve"> or water quality test results do not meet the standard</w:t>
            </w:r>
            <w:r w:rsidR="00B323CB" w:rsidRPr="002C58F1">
              <w:rPr>
                <w:color w:val="000000" w:themeColor="text1"/>
                <w:u w:color="4F81BD"/>
                <w:lang w:val="en-AU"/>
              </w:rPr>
              <w:t xml:space="preserve">. </w:t>
            </w:r>
          </w:p>
        </w:tc>
      </w:tr>
      <w:tr w:rsidR="00B96E54" w:rsidRPr="002C58F1" w14:paraId="294E0AE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902D" w14:textId="0798AA2E" w:rsidR="00B96E54"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For water treatment system</w:t>
            </w:r>
            <w:r w:rsidRPr="002C58F1">
              <w:rPr>
                <w:rFonts w:eastAsia="ヒラギノ角ゴ Pro W3"/>
              </w:rPr>
              <w:t xml:space="preserve"> operations</w:t>
            </w:r>
            <w:r w:rsidRPr="002C58F1">
              <w:rPr>
                <w:rFonts w:eastAsia="ヒラギノ角ゴ Pro W3"/>
              </w:rPr>
              <w:t>, water samples are taken at various locations and sent for laboratory testing as required by local drinking water standards.  Test results are recorded and reviewed</w:t>
            </w:r>
            <w:r w:rsidR="00B323CB" w:rsidRPr="002C58F1">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FAD7" w14:textId="3C827DC8" w:rsidR="00B96E54"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Dedicated water tankers are used for potable water. Tanks and distribution system are cleaned and disinfected according to local drinking water standards</w:t>
            </w:r>
            <w:r w:rsidR="00B323CB" w:rsidRPr="002C58F1">
              <w:rPr>
                <w:color w:val="000000" w:themeColor="text1"/>
                <w:u w:color="4F81BD"/>
                <w:lang w:val="en-AU"/>
              </w:rPr>
              <w:t xml:space="preserve">. </w:t>
            </w:r>
          </w:p>
        </w:tc>
      </w:tr>
      <w:tr w:rsidR="00DB1750" w:rsidRPr="002C58F1" w14:paraId="52669547"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E916" w14:textId="37D1A5D5" w:rsidR="00DB1750"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Personnel are notified immediately when drinking water fails to meet the standard. “Not safe to drink” signs are posted at all faucets, food preparation areas and shower facilities</w:t>
            </w:r>
            <w:r w:rsidR="00B323CB" w:rsidRPr="002C58F1">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E308" w14:textId="4D76BA52" w:rsidR="00DB1750" w:rsidRPr="002C58F1" w:rsidRDefault="002C58F1"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C58F1">
              <w:rPr>
                <w:rFonts w:eastAsia="ヒラギノ角ゴ Pro W3"/>
              </w:rPr>
              <w:t>Signage to indicate when water is non-potable - “not safe to drink”</w:t>
            </w:r>
            <w:r w:rsidRPr="002C58F1">
              <w:t xml:space="preserve"> and signage to indicate potable water, “safe for drinking” on faucets, piping and storage tanks</w:t>
            </w:r>
            <w:r w:rsidR="00B323CB" w:rsidRPr="002C58F1">
              <w:rPr>
                <w:color w:val="000000" w:themeColor="text1"/>
                <w:u w:color="4F81BD"/>
                <w:lang w:val="en-AU"/>
              </w:rPr>
              <w:t xml:space="preserve">. </w:t>
            </w:r>
          </w:p>
        </w:tc>
      </w:tr>
    </w:tbl>
    <w:p w14:paraId="7FC6F403" w14:textId="77777777" w:rsidR="00D50914" w:rsidRPr="002C58F1" w:rsidRDefault="00D46567">
      <w:pPr>
        <w:pStyle w:val="Heading2"/>
        <w:numPr>
          <w:ilvl w:val="0"/>
          <w:numId w:val="3"/>
        </w:numPr>
        <w:rPr>
          <w:rFonts w:cs="Arial"/>
          <w:lang w:val="en-AU"/>
        </w:rPr>
      </w:pPr>
      <w:r w:rsidRPr="002C58F1">
        <w:rPr>
          <w:rFonts w:cs="Arial"/>
          <w:lang w:val="en-AU"/>
        </w:rPr>
        <w:t>Utilisation</w:t>
      </w:r>
    </w:p>
    <w:p w14:paraId="5B19B2DC" w14:textId="25C80E46" w:rsidR="00DF0B7F" w:rsidRPr="002C58F1" w:rsidRDefault="002C58F1" w:rsidP="006B4B67">
      <w:pPr>
        <w:pStyle w:val="Body"/>
        <w:spacing w:before="60"/>
        <w:ind w:left="425"/>
        <w:rPr>
          <w:color w:val="000000" w:themeColor="text1"/>
          <w:u w:color="4F81BD"/>
          <w:lang w:val="en-AU"/>
        </w:rPr>
      </w:pPr>
      <w:r w:rsidRPr="002C58F1">
        <w:t>Used for supply of potable or drinking water, (water treated on site or bulk water supplied by external company and stored in tanks on site or bottled water)</w:t>
      </w:r>
      <w:r w:rsidR="00DF0B7F" w:rsidRPr="002C58F1">
        <w:rPr>
          <w:color w:val="000000" w:themeColor="text1"/>
          <w:u w:color="4F81BD"/>
          <w:lang w:val="en-AU"/>
        </w:rPr>
        <w:t xml:space="preserve">. </w:t>
      </w:r>
    </w:p>
    <w:p w14:paraId="2FCDE557" w14:textId="77777777" w:rsidR="00D50914" w:rsidRPr="002C58F1" w:rsidRDefault="00D46567">
      <w:pPr>
        <w:pStyle w:val="Heading2"/>
        <w:numPr>
          <w:ilvl w:val="0"/>
          <w:numId w:val="3"/>
        </w:numPr>
        <w:rPr>
          <w:rFonts w:cs="Arial"/>
          <w:color w:val="000000" w:themeColor="text1"/>
          <w:lang w:val="en-AU"/>
        </w:rPr>
      </w:pPr>
      <w:r w:rsidRPr="002C58F1">
        <w:rPr>
          <w:rFonts w:cs="Arial"/>
          <w:color w:val="000000" w:themeColor="text1"/>
          <w:lang w:val="en-AU"/>
        </w:rPr>
        <w:t>Safety Critical Defeat Requirements</w:t>
      </w:r>
    </w:p>
    <w:p w14:paraId="433A21CD" w14:textId="1CECD211" w:rsidR="005C4627" w:rsidRPr="002C58F1" w:rsidRDefault="00A963CC" w:rsidP="00926998">
      <w:pPr>
        <w:pStyle w:val="Body"/>
        <w:spacing w:before="60"/>
        <w:ind w:left="425"/>
        <w:rPr>
          <w:color w:val="000000" w:themeColor="text1"/>
          <w:u w:color="4F81BD"/>
          <w:lang w:val="en-AU"/>
        </w:rPr>
      </w:pPr>
      <w:r w:rsidRPr="002C58F1">
        <w:rPr>
          <w:color w:val="000000" w:themeColor="text1"/>
          <w:u w:color="4F81BD"/>
          <w:lang w:val="en-AU"/>
        </w:rPr>
        <w:t>No defeats permitted</w:t>
      </w:r>
      <w:r w:rsidR="005C4627" w:rsidRPr="002C58F1">
        <w:rPr>
          <w:color w:val="000000" w:themeColor="text1"/>
          <w:u w:color="4F81BD"/>
          <w:lang w:val="en-AU"/>
        </w:rPr>
        <w:t xml:space="preserve">. </w:t>
      </w:r>
      <w:r w:rsidR="005C4627" w:rsidRPr="002C58F1">
        <w:rPr>
          <w:rFonts w:ascii="MS Gothic" w:eastAsia="MS Gothic" w:hAnsi="MS Gothic" w:cs="MS Gothic" w:hint="eastAsia"/>
          <w:color w:val="000000" w:themeColor="text1"/>
          <w:u w:color="4F81BD"/>
          <w:lang w:val="en-AU"/>
        </w:rPr>
        <w:t> </w:t>
      </w:r>
    </w:p>
    <w:p w14:paraId="2CEEF942" w14:textId="77777777" w:rsidR="00D50914" w:rsidRPr="002C58F1" w:rsidRDefault="00D46567">
      <w:pPr>
        <w:pStyle w:val="Heading2"/>
        <w:numPr>
          <w:ilvl w:val="0"/>
          <w:numId w:val="3"/>
        </w:numPr>
        <w:rPr>
          <w:rFonts w:cs="Arial"/>
          <w:lang w:val="en-AU"/>
        </w:rPr>
      </w:pPr>
      <w:r w:rsidRPr="002C58F1">
        <w:rPr>
          <w:rFonts w:cs="Arial"/>
          <w:lang w:val="en-AU"/>
        </w:rPr>
        <w:t>Testing &amp; Verification</w:t>
      </w:r>
    </w:p>
    <w:p w14:paraId="1745E2D5" w14:textId="7F39DC21" w:rsidR="00B323CB" w:rsidRPr="002C58F1" w:rsidRDefault="002C58F1" w:rsidP="00B323CB">
      <w:pPr>
        <w:pStyle w:val="Body"/>
        <w:spacing w:before="60"/>
        <w:ind w:left="425"/>
        <w:rPr>
          <w:color w:val="000000" w:themeColor="text1"/>
          <w:u w:color="4F81BD"/>
          <w:lang w:val="en-AU"/>
        </w:rPr>
      </w:pPr>
      <w:r w:rsidRPr="002C58F1">
        <w:rPr>
          <w:rFonts w:eastAsia="ヒラギノ角ゴ Pro W3"/>
        </w:rPr>
        <w:t xml:space="preserve">Compliance with this KCDS is checked as part of the annual </w:t>
      </w:r>
      <w:r w:rsidRPr="002C58F1">
        <w:rPr>
          <w:color w:val="000000" w:themeColor="text1"/>
          <w:u w:color="4F81BD"/>
          <w:lang w:val="en-AU"/>
        </w:rPr>
        <w:t xml:space="preserve">HSE </w:t>
      </w:r>
      <w:r w:rsidRPr="002C58F1">
        <w:rPr>
          <w:rFonts w:eastAsia="ヒラギノ角ゴ Pro W3"/>
        </w:rPr>
        <w:t>auditing cycle</w:t>
      </w:r>
      <w:r w:rsidR="00B323CB" w:rsidRPr="002C58F1">
        <w:rPr>
          <w:color w:val="000000" w:themeColor="text1"/>
          <w:u w:color="4F81BD"/>
          <w:lang w:val="en-AU"/>
        </w:rPr>
        <w:t xml:space="preserve">. </w:t>
      </w:r>
    </w:p>
    <w:p w14:paraId="78674CF1" w14:textId="77777777" w:rsidR="00D50914" w:rsidRPr="002C58F1" w:rsidRDefault="00D46567">
      <w:pPr>
        <w:pStyle w:val="Heading2"/>
        <w:numPr>
          <w:ilvl w:val="0"/>
          <w:numId w:val="3"/>
        </w:numPr>
        <w:rPr>
          <w:rFonts w:cs="Arial"/>
          <w:lang w:val="en-AU"/>
        </w:rPr>
      </w:pPr>
      <w:r w:rsidRPr="002C58F1">
        <w:rPr>
          <w:rFonts w:cs="Arial"/>
          <w:lang w:val="en-AU"/>
        </w:rPr>
        <w:t>Maintenance</w:t>
      </w:r>
    </w:p>
    <w:p w14:paraId="79A218D8" w14:textId="77777777" w:rsidR="002C58F1" w:rsidRPr="002C58F1" w:rsidRDefault="002C58F1" w:rsidP="002C58F1">
      <w:pPr>
        <w:pStyle w:val="Body"/>
        <w:spacing w:before="60"/>
        <w:ind w:left="425"/>
        <w:rPr>
          <w:rFonts w:eastAsia="ヒラギノ角ゴ Pro W3"/>
        </w:rPr>
      </w:pPr>
      <w:r w:rsidRPr="002C58F1">
        <w:rPr>
          <w:rFonts w:eastAsia="ヒラギノ角ゴ Pro W3"/>
        </w:rPr>
        <w:t>Inspection, maintenance, calibration and testing of the potable water treatment system are carried out in accordance with manufacturer’s recommendations and are part of the Preventive Maintenance Program.</w:t>
      </w:r>
    </w:p>
    <w:p w14:paraId="5AA015FF" w14:textId="77777777" w:rsidR="002C58F1" w:rsidRPr="002C58F1" w:rsidRDefault="002C58F1" w:rsidP="002C58F1">
      <w:pPr>
        <w:pStyle w:val="Body"/>
        <w:spacing w:before="60"/>
        <w:ind w:left="425"/>
        <w:rPr>
          <w:rFonts w:eastAsia="ヒラギノ角ゴ Pro W3"/>
        </w:rPr>
      </w:pPr>
      <w:r w:rsidRPr="002C58F1">
        <w:rPr>
          <w:rFonts w:eastAsia="ヒラギノ角ゴ Pro W3"/>
        </w:rPr>
        <w:t xml:space="preserve">Instruments or equipment used to test water parameters (e.g. pH-meter, thermometer) are inspected, maintained and calibrated in accordance with manufacturer’s recommendations and are part of the Maintenance Program. </w:t>
      </w:r>
    </w:p>
    <w:p w14:paraId="4DE9EF04" w14:textId="2C4EC377" w:rsidR="00926998" w:rsidRPr="002C58F1" w:rsidRDefault="002C58F1" w:rsidP="002C58F1">
      <w:pPr>
        <w:pStyle w:val="Body"/>
        <w:spacing w:before="60"/>
        <w:ind w:left="425"/>
        <w:rPr>
          <w:rFonts w:eastAsia="ヒラギノ角ゴ Pro W3"/>
        </w:rPr>
      </w:pPr>
      <w:r w:rsidRPr="002C58F1">
        <w:rPr>
          <w:rFonts w:eastAsia="ヒラギノ角ゴ Pro W3"/>
        </w:rPr>
        <w:t>Water tanks are cleaned and disinfected according to local drinking water standards. If tanks are contaminated with water not meeting water quality standard, the cleaning and disinfection must be carried out immediately</w:t>
      </w:r>
      <w:r w:rsidR="00926998" w:rsidRPr="002C58F1">
        <w:rPr>
          <w:rFonts w:eastAsia="ヒラギノ角ゴ Pro W3"/>
        </w:rPr>
        <w:t>.</w:t>
      </w:r>
      <w:r w:rsidR="00926998" w:rsidRPr="002C58F1">
        <w:rPr>
          <w:rFonts w:ascii="MS Gothic" w:eastAsia="MS Gothic" w:hAnsi="MS Gothic" w:cs="MS Gothic" w:hint="eastAsia"/>
        </w:rPr>
        <w:t> </w:t>
      </w:r>
    </w:p>
    <w:p w14:paraId="4518E336" w14:textId="77777777" w:rsidR="00D50914" w:rsidRPr="002C58F1" w:rsidRDefault="00D46567">
      <w:pPr>
        <w:pStyle w:val="Heading2"/>
        <w:numPr>
          <w:ilvl w:val="0"/>
          <w:numId w:val="3"/>
        </w:numPr>
        <w:rPr>
          <w:rFonts w:cs="Arial"/>
          <w:lang w:val="en-AU"/>
        </w:rPr>
      </w:pPr>
      <w:r w:rsidRPr="002C58F1">
        <w:rPr>
          <w:rFonts w:cs="Arial"/>
          <w:lang w:val="en-AU"/>
        </w:rPr>
        <w:lastRenderedPageBreak/>
        <w:t>Training &amp; Competency</w:t>
      </w:r>
    </w:p>
    <w:p w14:paraId="7B72BB6F" w14:textId="77777777" w:rsidR="002C58F1" w:rsidRPr="002C58F1" w:rsidRDefault="002C58F1" w:rsidP="002C58F1">
      <w:pPr>
        <w:spacing w:before="60"/>
        <w:ind w:left="425"/>
        <w:rPr>
          <w:rFonts w:ascii="Arial" w:hAnsi="Arial" w:cs="Arial"/>
        </w:rPr>
      </w:pPr>
      <w:r w:rsidRPr="002C58F1">
        <w:rPr>
          <w:rFonts w:ascii="Arial" w:hAnsi="Arial" w:cs="Arial"/>
        </w:rPr>
        <w:t>Personnel operating and monitoring potable or drinking treatment system must be trained and assessed competent in:</w:t>
      </w:r>
    </w:p>
    <w:p w14:paraId="7B8D8EFA"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sz w:val="22"/>
          <w:szCs w:val="22"/>
        </w:rPr>
      </w:pPr>
      <w:r w:rsidRPr="002C58F1">
        <w:rPr>
          <w:rFonts w:ascii="Arial" w:hAnsi="Arial" w:cs="Arial"/>
          <w:sz w:val="22"/>
          <w:szCs w:val="22"/>
        </w:rPr>
        <w:t>Potable water parameters</w:t>
      </w:r>
    </w:p>
    <w:p w14:paraId="00B2FE31"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sz w:val="22"/>
          <w:szCs w:val="22"/>
        </w:rPr>
      </w:pPr>
      <w:r w:rsidRPr="002C58F1">
        <w:rPr>
          <w:rFonts w:ascii="Arial" w:hAnsi="Arial" w:cs="Arial"/>
          <w:sz w:val="22"/>
          <w:szCs w:val="22"/>
        </w:rPr>
        <w:t>Water sampling methods</w:t>
      </w:r>
    </w:p>
    <w:p w14:paraId="6DCE4A88"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sz w:val="22"/>
          <w:szCs w:val="22"/>
        </w:rPr>
      </w:pPr>
      <w:r w:rsidRPr="002C58F1">
        <w:rPr>
          <w:rFonts w:ascii="Arial" w:hAnsi="Arial" w:cs="Arial"/>
          <w:sz w:val="22"/>
          <w:szCs w:val="22"/>
        </w:rPr>
        <w:t xml:space="preserve">Actions to take when potable water does not meet the standard </w:t>
      </w:r>
    </w:p>
    <w:p w14:paraId="1E0E2E1C"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sz w:val="22"/>
          <w:szCs w:val="22"/>
        </w:rPr>
      </w:pPr>
      <w:r w:rsidRPr="002C58F1">
        <w:rPr>
          <w:rFonts w:ascii="Arial" w:hAnsi="Arial" w:cs="Arial"/>
          <w:sz w:val="22"/>
          <w:szCs w:val="22"/>
        </w:rPr>
        <w:t>Potable water standards according to local requirements</w:t>
      </w:r>
    </w:p>
    <w:p w14:paraId="210B9A00"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C58F1">
        <w:rPr>
          <w:rFonts w:ascii="Arial" w:hAnsi="Arial" w:cs="Arial"/>
          <w:sz w:val="22"/>
          <w:szCs w:val="22"/>
        </w:rPr>
        <w:t>Instructions on required adjustments and process control changes when parameters are not met</w:t>
      </w:r>
    </w:p>
    <w:p w14:paraId="551FC3D2" w14:textId="77777777" w:rsidR="002C58F1"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C58F1">
        <w:rPr>
          <w:rFonts w:ascii="Arial" w:hAnsi="Arial" w:cs="Arial"/>
          <w:sz w:val="22"/>
          <w:szCs w:val="22"/>
        </w:rPr>
        <w:t>The hazards and controls associated to hazardous chemicals used to treat water, as outlined in the Safety Data Sheets</w:t>
      </w:r>
    </w:p>
    <w:p w14:paraId="0881DA9F" w14:textId="4159287B" w:rsidR="00D50914" w:rsidRPr="002C58F1" w:rsidRDefault="002C58F1" w:rsidP="002C58F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C58F1">
        <w:rPr>
          <w:rFonts w:ascii="Arial" w:hAnsi="Arial" w:cs="Arial"/>
          <w:sz w:val="22"/>
          <w:szCs w:val="22"/>
        </w:rPr>
        <w:t>Local water borne pathogens (disease causing organisms), potential chemical contaminants and treatment requirements</w:t>
      </w:r>
      <w:r w:rsidR="00D46567" w:rsidRPr="002C58F1">
        <w:rPr>
          <w:rFonts w:ascii="Arial" w:hAnsi="Arial" w:cs="Arial"/>
          <w:color w:val="000000" w:themeColor="text1"/>
          <w:u w:color="4F81BD"/>
        </w:rPr>
        <w:br w:type="page"/>
      </w:r>
    </w:p>
    <w:p w14:paraId="78ACC466" w14:textId="77777777" w:rsidR="00D50914" w:rsidRPr="002C58F1" w:rsidRDefault="00D46567">
      <w:pPr>
        <w:pStyle w:val="Body"/>
        <w:ind w:left="360"/>
        <w:jc w:val="center"/>
        <w:rPr>
          <w:b/>
          <w:bCs/>
          <w:sz w:val="32"/>
          <w:szCs w:val="32"/>
          <w:lang w:val="en-AU"/>
        </w:rPr>
      </w:pPr>
      <w:r w:rsidRPr="002C58F1">
        <w:rPr>
          <w:b/>
          <w:bCs/>
          <w:sz w:val="32"/>
          <w:szCs w:val="32"/>
          <w:lang w:val="en-AU"/>
        </w:rPr>
        <w:lastRenderedPageBreak/>
        <w:t>Task Requirements</w:t>
      </w:r>
    </w:p>
    <w:p w14:paraId="16F77791" w14:textId="77777777" w:rsidR="00D50914" w:rsidRPr="002C58F1" w:rsidRDefault="00D46567">
      <w:pPr>
        <w:pStyle w:val="Body"/>
        <w:spacing w:before="60" w:after="60"/>
        <w:ind w:left="426"/>
        <w:rPr>
          <w:lang w:val="en-AU"/>
        </w:rPr>
      </w:pPr>
      <w:r w:rsidRPr="002C58F1">
        <w:rPr>
          <w:lang w:val="en-AU"/>
        </w:rPr>
        <w:t xml:space="preserve">The following are the key day to day requirements operators/maintainers and supervisors </w:t>
      </w:r>
      <w:r w:rsidRPr="002C58F1">
        <w:rPr>
          <w:u w:val="single"/>
          <w:lang w:val="en-AU"/>
        </w:rPr>
        <w:t>must</w:t>
      </w:r>
      <w:r w:rsidRPr="002C58F1">
        <w:rPr>
          <w:lang w:val="en-AU"/>
        </w:rPr>
        <w:t xml:space="preserve"> follow to ensure the control is being used correctly.</w:t>
      </w:r>
    </w:p>
    <w:p w14:paraId="2EB2A88E" w14:textId="77777777" w:rsidR="00D50914" w:rsidRPr="002C58F1" w:rsidRDefault="00D46567">
      <w:pPr>
        <w:pStyle w:val="Heading2"/>
        <w:numPr>
          <w:ilvl w:val="0"/>
          <w:numId w:val="4"/>
        </w:numPr>
        <w:rPr>
          <w:rFonts w:cs="Arial"/>
          <w:lang w:val="en-AU"/>
        </w:rPr>
      </w:pPr>
      <w:r w:rsidRPr="002C58F1">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2C58F1"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2C58F1" w:rsidRDefault="00D46567">
            <w:pPr>
              <w:pStyle w:val="Body"/>
              <w:spacing w:before="60" w:after="60"/>
              <w:jc w:val="center"/>
              <w:rPr>
                <w:color w:val="000000" w:themeColor="text1"/>
                <w:lang w:val="en-AU"/>
              </w:rPr>
            </w:pPr>
            <w:r w:rsidRPr="002C58F1">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2C58F1" w:rsidRDefault="00D46567">
            <w:pPr>
              <w:pStyle w:val="Body"/>
              <w:spacing w:before="60" w:after="60"/>
              <w:jc w:val="center"/>
              <w:rPr>
                <w:color w:val="000000" w:themeColor="text1"/>
                <w:lang w:val="en-AU"/>
              </w:rPr>
            </w:pPr>
            <w:r w:rsidRPr="002C58F1">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2C58F1" w:rsidRDefault="00D46567">
            <w:pPr>
              <w:pStyle w:val="Body"/>
              <w:spacing w:before="60" w:after="60"/>
              <w:jc w:val="center"/>
              <w:rPr>
                <w:color w:val="000000" w:themeColor="text1"/>
                <w:lang w:val="en-AU"/>
              </w:rPr>
            </w:pPr>
            <w:r w:rsidRPr="002C58F1">
              <w:rPr>
                <w:color w:val="000000" w:themeColor="text1"/>
                <w:lang w:val="en-AU"/>
              </w:rPr>
              <w:t>Operator/Maintainer</w:t>
            </w:r>
          </w:p>
        </w:tc>
      </w:tr>
      <w:tr w:rsidR="00AA5092" w:rsidRPr="002C58F1" w14:paraId="53142FC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2C58F1" w:rsidRDefault="00D46567">
            <w:pPr>
              <w:pStyle w:val="Body"/>
              <w:spacing w:before="60" w:after="60"/>
              <w:jc w:val="center"/>
              <w:rPr>
                <w:color w:val="000000" w:themeColor="text1"/>
                <w:lang w:val="en-AU"/>
              </w:rPr>
            </w:pPr>
            <w:r w:rsidRPr="002C58F1">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1EE6A876" w:rsidR="00D50914" w:rsidRPr="002C58F1" w:rsidRDefault="002C58F1" w:rsidP="005720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2C58F1">
              <w:rPr>
                <w:rFonts w:ascii="Arial" w:eastAsia="ヒラギノ角ゴ Pro W3" w:hAnsi="Arial" w:cs="Arial"/>
              </w:rPr>
              <w:t>Verify water treatment system maintenance is carried out according to the scheduled and Work Instructions</w:t>
            </w:r>
            <w:r w:rsidR="005720DD" w:rsidRPr="002C58F1">
              <w:rPr>
                <w:rFonts w:ascii="Arial" w:eastAsia="Arial" w:hAnsi="Arial" w:cs="Arial"/>
                <w:color w:val="000000" w:themeColor="text1"/>
                <w:sz w:val="22"/>
                <w:szCs w:val="22"/>
                <w:u w:color="4F81BD"/>
                <w:lang w:eastAsia="en-GB"/>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488015E2" w:rsidR="00D50914" w:rsidRPr="002C58F1" w:rsidRDefault="002C58F1" w:rsidP="001261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Pr>
                <w:rFonts w:ascii="Arial" w:eastAsia="ヒラギノ角ゴ Pro W3" w:hAnsi="Arial" w:cs="Arial"/>
              </w:rPr>
              <w:t>Consume</w:t>
            </w:r>
            <w:r w:rsidRPr="002C58F1">
              <w:rPr>
                <w:rFonts w:ascii="Arial" w:eastAsia="ヒラギノ角ゴ Pro W3" w:hAnsi="Arial" w:cs="Arial"/>
              </w:rPr>
              <w:t>, prepare food and shower using potable water</w:t>
            </w:r>
            <w:r w:rsidR="00126122" w:rsidRPr="002C58F1">
              <w:rPr>
                <w:rFonts w:ascii="Arial" w:eastAsia="Arial" w:hAnsi="Arial" w:cs="Arial"/>
                <w:color w:val="000000" w:themeColor="text1"/>
                <w:sz w:val="22"/>
                <w:szCs w:val="22"/>
                <w:u w:color="4F81BD"/>
                <w:lang w:eastAsia="en-GB"/>
              </w:rPr>
              <w:t xml:space="preserve">. </w:t>
            </w:r>
          </w:p>
        </w:tc>
      </w:tr>
      <w:tr w:rsidR="00AA5092" w:rsidRPr="002C58F1" w14:paraId="094D220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2C58F1" w:rsidRDefault="00D46567">
            <w:pPr>
              <w:pStyle w:val="Body"/>
              <w:spacing w:before="60" w:after="60"/>
              <w:jc w:val="center"/>
              <w:rPr>
                <w:color w:val="000000" w:themeColor="text1"/>
                <w:lang w:val="en-AU"/>
              </w:rPr>
            </w:pPr>
            <w:r w:rsidRPr="002C58F1">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64373C31" w:rsidR="00D50914" w:rsidRPr="002C58F1" w:rsidRDefault="002C58F1" w:rsidP="001261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2C58F1">
              <w:rPr>
                <w:rFonts w:ascii="Arial" w:eastAsia="ヒラギノ角ゴ Pro W3" w:hAnsi="Arial" w:cs="Arial"/>
              </w:rPr>
              <w:t>Review water test results and provide alternative potable water when treated water does not meet the standard</w:t>
            </w:r>
            <w:r w:rsidR="00126122" w:rsidRPr="002C58F1">
              <w:rPr>
                <w:rFonts w:ascii="Arial" w:eastAsia="Arial" w:hAnsi="Arial" w:cs="Arial"/>
                <w:color w:val="000000" w:themeColor="text1"/>
                <w:sz w:val="22"/>
                <w:szCs w:val="22"/>
                <w:u w:color="4F81BD"/>
                <w:lang w:eastAsia="en-GB"/>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0F5AFE76" w:rsidR="00D50914" w:rsidRPr="002C58F1" w:rsidRDefault="00D50914" w:rsidP="001261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p>
        </w:tc>
      </w:tr>
    </w:tbl>
    <w:p w14:paraId="25362686" w14:textId="77777777" w:rsidR="00D50914" w:rsidRPr="002C58F1" w:rsidRDefault="00D46567">
      <w:pPr>
        <w:pStyle w:val="Heading2"/>
        <w:numPr>
          <w:ilvl w:val="0"/>
          <w:numId w:val="3"/>
        </w:numPr>
        <w:rPr>
          <w:rFonts w:cs="Arial"/>
          <w:lang w:val="en-AU"/>
        </w:rPr>
      </w:pPr>
      <w:r w:rsidRPr="002C58F1">
        <w:rPr>
          <w:rFonts w:cs="Arial"/>
          <w:lang w:val="en-AU"/>
        </w:rPr>
        <w:t>Skills Requirements</w:t>
      </w:r>
    </w:p>
    <w:p w14:paraId="2970975B" w14:textId="5BC97403" w:rsidR="00D50914" w:rsidRPr="002C58F1" w:rsidRDefault="002C58F1" w:rsidP="00A963CC">
      <w:pPr>
        <w:pStyle w:val="Body"/>
        <w:spacing w:before="60"/>
        <w:ind w:left="426"/>
        <w:rPr>
          <w:color w:val="000000" w:themeColor="text1"/>
          <w:u w:color="4F81BD"/>
          <w:lang w:val="en-AU"/>
        </w:rPr>
      </w:pPr>
      <w:r w:rsidRPr="002C58F1">
        <w:t>Personnel operating and maintaining water treatment equipment must be trained and authori</w:t>
      </w:r>
      <w:r w:rsidRPr="002C58F1">
        <w:t>s</w:t>
      </w:r>
      <w:r w:rsidRPr="002C58F1">
        <w:t>ed</w:t>
      </w:r>
      <w:r w:rsidR="00D46567" w:rsidRPr="002C58F1">
        <w:rPr>
          <w:color w:val="000000" w:themeColor="text1"/>
          <w:u w:color="4F81BD"/>
          <w:lang w:val="en-AU"/>
        </w:rPr>
        <w:t>.</w:t>
      </w:r>
    </w:p>
    <w:p w14:paraId="5F6B4C22" w14:textId="77777777" w:rsidR="00D50914" w:rsidRPr="002C58F1" w:rsidRDefault="00D46567">
      <w:pPr>
        <w:pStyle w:val="Heading2"/>
        <w:numPr>
          <w:ilvl w:val="0"/>
          <w:numId w:val="3"/>
        </w:numPr>
        <w:rPr>
          <w:rFonts w:cs="Arial"/>
          <w:color w:val="000000" w:themeColor="text1"/>
          <w:lang w:val="en-AU"/>
        </w:rPr>
      </w:pPr>
      <w:r w:rsidRPr="002C58F1">
        <w:rPr>
          <w:rFonts w:cs="Arial"/>
          <w:color w:val="000000" w:themeColor="text1"/>
          <w:lang w:val="en-AU"/>
        </w:rPr>
        <w:t>Permits</w:t>
      </w:r>
    </w:p>
    <w:p w14:paraId="32549888" w14:textId="76FF193B" w:rsidR="00D50914" w:rsidRPr="002C58F1" w:rsidRDefault="00862C0B" w:rsidP="00E903CC">
      <w:pPr>
        <w:pStyle w:val="Body"/>
        <w:spacing w:before="60"/>
        <w:ind w:left="426"/>
        <w:rPr>
          <w:color w:val="000000" w:themeColor="text1"/>
          <w:u w:color="4F81BD"/>
          <w:lang w:val="en-AU"/>
        </w:rPr>
      </w:pPr>
      <w:r w:rsidRPr="002C58F1">
        <w:rPr>
          <w:color w:val="000000" w:themeColor="text1"/>
          <w:u w:color="4F81BD"/>
          <w:lang w:val="en-AU"/>
        </w:rPr>
        <w:t>Not applicable</w:t>
      </w:r>
      <w:r w:rsidR="00AA5092" w:rsidRPr="002C58F1">
        <w:rPr>
          <w:color w:val="000000" w:themeColor="text1"/>
          <w:u w:color="4F81BD"/>
          <w:lang w:val="en-AU"/>
        </w:rPr>
        <w:t>.</w:t>
      </w:r>
    </w:p>
    <w:p w14:paraId="726C6D9F" w14:textId="77777777" w:rsidR="00D50914" w:rsidRPr="002C58F1" w:rsidRDefault="00D46567">
      <w:pPr>
        <w:pStyle w:val="Heading2"/>
        <w:numPr>
          <w:ilvl w:val="0"/>
          <w:numId w:val="3"/>
        </w:numPr>
        <w:rPr>
          <w:rFonts w:cs="Arial"/>
          <w:lang w:val="en-AU"/>
        </w:rPr>
      </w:pPr>
      <w:r w:rsidRPr="002C58F1">
        <w:rPr>
          <w:rFonts w:cs="Arial"/>
          <w:lang w:val="en-AU"/>
        </w:rPr>
        <w:t>Task Specific PPE Requirements</w:t>
      </w:r>
    </w:p>
    <w:p w14:paraId="2440CE4E" w14:textId="00FC7912" w:rsidR="00126122" w:rsidRPr="002C58F1" w:rsidRDefault="002C58F1" w:rsidP="00126122">
      <w:pPr>
        <w:pStyle w:val="Body"/>
        <w:spacing w:before="60"/>
        <w:ind w:left="426"/>
        <w:rPr>
          <w:color w:val="000000" w:themeColor="text1"/>
          <w:u w:color="4F81BD"/>
          <w:lang w:val="en-AU"/>
        </w:rPr>
      </w:pPr>
      <w:r w:rsidRPr="002C58F1">
        <w:t>PPE requirements for chemicals (e.g. chlorine) a</w:t>
      </w:r>
      <w:r w:rsidRPr="002C58F1">
        <w:t>s</w:t>
      </w:r>
      <w:r w:rsidRPr="002C58F1">
        <w:t xml:space="preserve"> defined</w:t>
      </w:r>
      <w:r w:rsidRPr="002C58F1">
        <w:t xml:space="preserve"> / </w:t>
      </w:r>
      <w:r w:rsidRPr="002C58F1">
        <w:rPr>
          <w:color w:val="000000" w:themeColor="text1"/>
          <w:u w:color="4F81BD"/>
          <w:lang w:val="en-AU"/>
        </w:rPr>
        <w:t>recommended</w:t>
      </w:r>
      <w:r w:rsidRPr="002C58F1">
        <w:t xml:space="preserve"> in the Safety Data Sheets</w:t>
      </w:r>
      <w:r w:rsidR="00924D60" w:rsidRPr="002C58F1">
        <w:rPr>
          <w:color w:val="000000" w:themeColor="text1"/>
          <w:u w:color="4F81BD"/>
          <w:lang w:val="en-AU"/>
        </w:rPr>
        <w:t>.</w:t>
      </w:r>
    </w:p>
    <w:p w14:paraId="2670869E" w14:textId="77777777" w:rsidR="00D50914" w:rsidRPr="002C58F1" w:rsidRDefault="00D46567">
      <w:pPr>
        <w:pStyle w:val="Heading2"/>
        <w:numPr>
          <w:ilvl w:val="0"/>
          <w:numId w:val="3"/>
        </w:numPr>
        <w:rPr>
          <w:rFonts w:cs="Arial"/>
          <w:lang w:val="en-AU"/>
        </w:rPr>
      </w:pPr>
      <w:r w:rsidRPr="002C58F1">
        <w:rPr>
          <w:rFonts w:cs="Arial"/>
          <w:lang w:val="en-AU"/>
        </w:rPr>
        <w:t>Special Task Related Tooling</w:t>
      </w:r>
    </w:p>
    <w:p w14:paraId="45E9147E" w14:textId="2C55B678" w:rsidR="00D50914" w:rsidRPr="002C58F1" w:rsidRDefault="002C58F1" w:rsidP="00126122">
      <w:pPr>
        <w:pStyle w:val="Body"/>
        <w:spacing w:before="60"/>
        <w:ind w:left="426"/>
        <w:rPr>
          <w:color w:val="000000" w:themeColor="text1"/>
          <w:u w:color="4F81BD"/>
          <w:lang w:val="en-AU"/>
        </w:rPr>
      </w:pPr>
      <w:r w:rsidRPr="002C58F1">
        <w:t>Glassware used to sample water must be washed and sterilized</w:t>
      </w:r>
      <w:r w:rsidR="00C605A6" w:rsidRPr="002C58F1">
        <w:rPr>
          <w:color w:val="000000" w:themeColor="text1"/>
          <w:u w:color="4F81BD"/>
          <w:lang w:val="en-AU"/>
        </w:rPr>
        <w:t>.</w:t>
      </w:r>
      <w:r w:rsidR="00D46567" w:rsidRPr="002C58F1">
        <w:rPr>
          <w:color w:val="000000" w:themeColor="text1"/>
          <w:u w:color="4F81BD"/>
          <w:lang w:val="en-AU"/>
        </w:rPr>
        <w:br w:type="page"/>
      </w:r>
    </w:p>
    <w:p w14:paraId="19C40F5A" w14:textId="77777777" w:rsidR="00D50914" w:rsidRPr="002C58F1" w:rsidRDefault="00D46567">
      <w:pPr>
        <w:pStyle w:val="Body"/>
        <w:spacing w:before="60"/>
        <w:ind w:left="426"/>
        <w:jc w:val="center"/>
        <w:rPr>
          <w:b/>
          <w:bCs/>
          <w:sz w:val="32"/>
          <w:szCs w:val="32"/>
          <w:lang w:val="en-AU"/>
        </w:rPr>
      </w:pPr>
      <w:r w:rsidRPr="002C58F1">
        <w:rPr>
          <w:b/>
          <w:bCs/>
          <w:sz w:val="32"/>
          <w:szCs w:val="32"/>
          <w:lang w:val="en-AU"/>
        </w:rPr>
        <w:lastRenderedPageBreak/>
        <w:t>Design Requirements</w:t>
      </w:r>
    </w:p>
    <w:p w14:paraId="118DA08D" w14:textId="77777777" w:rsidR="00D50914" w:rsidRPr="002C58F1" w:rsidRDefault="00D46567">
      <w:pPr>
        <w:pStyle w:val="Heading2"/>
        <w:numPr>
          <w:ilvl w:val="0"/>
          <w:numId w:val="6"/>
        </w:numPr>
        <w:rPr>
          <w:rFonts w:cs="Arial"/>
          <w:lang w:val="en-AU"/>
        </w:rPr>
      </w:pPr>
      <w:r w:rsidRPr="002C58F1">
        <w:rPr>
          <w:rFonts w:cs="Arial"/>
          <w:lang w:val="en-AU"/>
        </w:rPr>
        <w:t>Design Standard</w:t>
      </w:r>
    </w:p>
    <w:p w14:paraId="03DF5E72" w14:textId="24384846" w:rsidR="00126122" w:rsidRPr="002C58F1" w:rsidRDefault="002C58F1" w:rsidP="00126122">
      <w:pPr>
        <w:pStyle w:val="Body"/>
        <w:spacing w:before="60" w:after="60"/>
        <w:ind w:left="426"/>
        <w:jc w:val="both"/>
        <w:rPr>
          <w:rFonts w:eastAsia="MS Gothic"/>
          <w:u w:color="4F81BD"/>
          <w:lang w:val="en-AU"/>
        </w:rPr>
      </w:pPr>
      <w:r w:rsidRPr="002C58F1">
        <w:t>Statutory compliance with local water quality standards</w:t>
      </w:r>
      <w:r w:rsidRPr="002C58F1">
        <w:rPr>
          <w:rFonts w:eastAsia="MS Gothic"/>
          <w:u w:color="4F81BD"/>
          <w:lang w:val="en-AU"/>
        </w:rPr>
        <w:t xml:space="preserve"> </w:t>
      </w:r>
      <w:r w:rsidR="00126122" w:rsidRPr="002C58F1">
        <w:rPr>
          <w:rFonts w:ascii="MS Gothic" w:eastAsia="MS Gothic" w:hAnsi="MS Gothic" w:cs="MS Gothic" w:hint="eastAsia"/>
          <w:u w:color="4F81BD"/>
          <w:lang w:val="en-AU"/>
        </w:rPr>
        <w:t> </w:t>
      </w:r>
    </w:p>
    <w:p w14:paraId="6F40D45C" w14:textId="1D177479" w:rsidR="00D50914" w:rsidRPr="002C58F1" w:rsidRDefault="00D46567" w:rsidP="00862C0B">
      <w:pPr>
        <w:pStyle w:val="Heading2"/>
        <w:numPr>
          <w:ilvl w:val="0"/>
          <w:numId w:val="6"/>
        </w:numPr>
        <w:rPr>
          <w:rFonts w:cs="Arial"/>
          <w:lang w:val="en-AU"/>
        </w:rPr>
      </w:pPr>
      <w:r w:rsidRPr="002C58F1">
        <w:rPr>
          <w:rFonts w:cs="Arial"/>
          <w:lang w:val="en-AU"/>
        </w:rPr>
        <w:t>Safety Parameters</w:t>
      </w:r>
    </w:p>
    <w:p w14:paraId="098D4A34" w14:textId="77777777" w:rsidR="002C58F1" w:rsidRPr="002C58F1" w:rsidRDefault="002C58F1" w:rsidP="002C58F1">
      <w:pPr>
        <w:pStyle w:val="Body"/>
        <w:spacing w:before="60" w:after="60"/>
        <w:ind w:left="426"/>
        <w:jc w:val="both"/>
        <w:rPr>
          <w:u w:color="4F81BD"/>
          <w:lang w:val="en-AU"/>
        </w:rPr>
      </w:pPr>
      <w:r w:rsidRPr="002C58F1">
        <w:rPr>
          <w:u w:color="4F81BD"/>
          <w:lang w:val="en-AU"/>
        </w:rPr>
        <w:t>Foreign visitors must drink only bottled water.</w:t>
      </w:r>
    </w:p>
    <w:p w14:paraId="0C646A7C" w14:textId="77777777" w:rsidR="002C58F1" w:rsidRPr="002C58F1" w:rsidRDefault="002C58F1" w:rsidP="002C58F1">
      <w:pPr>
        <w:pStyle w:val="Body"/>
        <w:spacing w:before="60" w:after="60"/>
        <w:ind w:left="426"/>
        <w:jc w:val="both"/>
        <w:rPr>
          <w:u w:color="4F81BD"/>
          <w:lang w:val="en-AU"/>
        </w:rPr>
      </w:pPr>
      <w:r w:rsidRPr="002C58F1">
        <w:rPr>
          <w:u w:color="4F81BD"/>
          <w:lang w:val="en-AU"/>
        </w:rPr>
        <w:t>Complete set of current SDS of all chemical substances being handled and stored must be available.</w:t>
      </w:r>
    </w:p>
    <w:p w14:paraId="2FDA49F8" w14:textId="6FD12E2A" w:rsidR="003F4F6A" w:rsidRPr="002C58F1" w:rsidRDefault="002C58F1" w:rsidP="002C58F1">
      <w:pPr>
        <w:pStyle w:val="Body"/>
        <w:spacing w:before="60" w:after="60"/>
        <w:ind w:left="426"/>
        <w:jc w:val="both"/>
        <w:rPr>
          <w:u w:color="4F81BD"/>
          <w:lang w:val="en-AU"/>
        </w:rPr>
      </w:pPr>
      <w:r w:rsidRPr="002C58F1">
        <w:rPr>
          <w:u w:color="4F81BD"/>
          <w:lang w:val="en-AU"/>
        </w:rPr>
        <w:t xml:space="preserve">If high pressure water jet is used to clean internal surfaces of the tank, the pressure used must be approved by the </w:t>
      </w:r>
      <w:r w:rsidRPr="002C58F1">
        <w:rPr>
          <w:u w:color="4F81BD"/>
          <w:lang w:val="en-AU"/>
        </w:rPr>
        <w:t>Maintenance Manager</w:t>
      </w:r>
      <w:r w:rsidR="003F4F6A" w:rsidRPr="002C58F1">
        <w:rPr>
          <w:u w:color="4F81BD"/>
          <w:lang w:val="en-AU"/>
        </w:rPr>
        <w:t xml:space="preserve">. </w:t>
      </w:r>
    </w:p>
    <w:p w14:paraId="61599B47" w14:textId="77777777" w:rsidR="00D50914" w:rsidRPr="002C58F1" w:rsidRDefault="00D46567">
      <w:pPr>
        <w:pStyle w:val="Heading2"/>
        <w:numPr>
          <w:ilvl w:val="0"/>
          <w:numId w:val="3"/>
        </w:numPr>
        <w:rPr>
          <w:rFonts w:cs="Arial"/>
          <w:lang w:val="en-AU"/>
        </w:rPr>
      </w:pPr>
      <w:r w:rsidRPr="002C58F1">
        <w:rPr>
          <w:rFonts w:cs="Arial"/>
          <w:lang w:val="en-AU"/>
        </w:rPr>
        <w:t>Design Life</w:t>
      </w:r>
    </w:p>
    <w:p w14:paraId="2CD11FD5" w14:textId="4F9B3BE4" w:rsidR="00D50914" w:rsidRPr="002C58F1" w:rsidRDefault="002C58F1" w:rsidP="00126122">
      <w:pPr>
        <w:pStyle w:val="Body"/>
        <w:spacing w:before="60" w:after="60"/>
        <w:ind w:left="426"/>
        <w:jc w:val="both"/>
        <w:rPr>
          <w:u w:color="4F81BD"/>
          <w:lang w:val="en-AU"/>
        </w:rPr>
      </w:pPr>
      <w:r w:rsidRPr="002C58F1">
        <w:rPr>
          <w:u w:color="4F81BD"/>
          <w:lang w:val="en-AU"/>
        </w:rPr>
        <w:t>Not applicable</w:t>
      </w:r>
      <w:r w:rsidR="00B23888" w:rsidRPr="002C58F1">
        <w:rPr>
          <w:u w:color="4F81BD"/>
          <w:lang w:val="en-AU"/>
        </w:rPr>
        <w:t>.</w:t>
      </w:r>
      <w:r w:rsidR="00D46567" w:rsidRPr="002C58F1">
        <w:rPr>
          <w:u w:color="4F81BD"/>
          <w:lang w:val="en-AU"/>
        </w:rPr>
        <w:t xml:space="preserve"> </w:t>
      </w:r>
    </w:p>
    <w:p w14:paraId="6DBF0093" w14:textId="77777777" w:rsidR="00D50914" w:rsidRPr="002C58F1" w:rsidRDefault="00D46567">
      <w:pPr>
        <w:pStyle w:val="Heading2"/>
        <w:numPr>
          <w:ilvl w:val="0"/>
          <w:numId w:val="3"/>
        </w:numPr>
        <w:rPr>
          <w:rFonts w:cs="Arial"/>
          <w:lang w:val="en-AU"/>
        </w:rPr>
      </w:pPr>
      <w:r w:rsidRPr="002C58F1">
        <w:rPr>
          <w:rFonts w:cs="Arial"/>
          <w:lang w:val="en-AU"/>
        </w:rPr>
        <w:t>Safe Separation</w:t>
      </w:r>
    </w:p>
    <w:p w14:paraId="043265D1" w14:textId="77777777" w:rsidR="002C58F1" w:rsidRPr="002C58F1" w:rsidRDefault="002C58F1" w:rsidP="002C58F1">
      <w:pPr>
        <w:pStyle w:val="Body"/>
        <w:spacing w:before="60" w:after="60"/>
        <w:ind w:left="426"/>
        <w:jc w:val="both"/>
        <w:rPr>
          <w:u w:color="4F81BD"/>
          <w:lang w:val="en-AU"/>
        </w:rPr>
      </w:pPr>
      <w:r w:rsidRPr="002C58F1">
        <w:rPr>
          <w:u w:color="4F81BD"/>
          <w:lang w:val="en-AU"/>
        </w:rPr>
        <w:t>There must be a physical separation between potable water system or water storage tanks and chemical plant systems.</w:t>
      </w:r>
    </w:p>
    <w:p w14:paraId="58131FA7" w14:textId="1C78A9BE" w:rsidR="00FB6838" w:rsidRPr="002C58F1" w:rsidRDefault="002C58F1" w:rsidP="002C58F1">
      <w:pPr>
        <w:pStyle w:val="Body"/>
        <w:spacing w:before="60" w:after="60"/>
        <w:ind w:left="426"/>
        <w:jc w:val="both"/>
        <w:rPr>
          <w:u w:color="4F81BD"/>
          <w:lang w:val="en-AU"/>
        </w:rPr>
      </w:pPr>
      <w:r w:rsidRPr="002C58F1">
        <w:rPr>
          <w:u w:color="4F81BD"/>
          <w:lang w:val="en-AU"/>
        </w:rPr>
        <w:t>Chemical substances must be stored according to their compatibility and SDS requirements</w:t>
      </w:r>
      <w:r w:rsidR="00FB6838" w:rsidRPr="002C58F1">
        <w:rPr>
          <w:u w:color="4F81BD"/>
          <w:lang w:val="en-AU"/>
        </w:rPr>
        <w:t xml:space="preserve">. </w:t>
      </w:r>
    </w:p>
    <w:p w14:paraId="4F143003" w14:textId="77777777" w:rsidR="00D50914" w:rsidRPr="002C58F1" w:rsidRDefault="00D46567">
      <w:pPr>
        <w:pStyle w:val="Heading2"/>
        <w:numPr>
          <w:ilvl w:val="0"/>
          <w:numId w:val="3"/>
        </w:numPr>
        <w:rPr>
          <w:rFonts w:cs="Arial"/>
          <w:lang w:val="en-AU"/>
        </w:rPr>
      </w:pPr>
      <w:r w:rsidRPr="002C58F1">
        <w:rPr>
          <w:rFonts w:cs="Arial"/>
          <w:lang w:val="en-AU"/>
        </w:rPr>
        <w:t>Special Requirements</w:t>
      </w:r>
    </w:p>
    <w:p w14:paraId="36910864" w14:textId="3ACB3F46" w:rsidR="00D50914" w:rsidRPr="002C58F1" w:rsidRDefault="002C58F1" w:rsidP="00126122">
      <w:pPr>
        <w:pStyle w:val="Body"/>
        <w:spacing w:before="60" w:after="60"/>
        <w:ind w:left="426"/>
        <w:jc w:val="both"/>
        <w:rPr>
          <w:u w:color="4F81BD"/>
          <w:lang w:val="en-AU"/>
        </w:rPr>
      </w:pPr>
      <w:r w:rsidRPr="002C58F1">
        <w:t>Washing of all internal surfaces must be carried out</w:t>
      </w:r>
      <w:r w:rsidRPr="002C58F1">
        <w:t xml:space="preserve"> </w:t>
      </w:r>
      <w:r w:rsidRPr="002C58F1">
        <w:t>to remove all traces of detergent. Continuous flushing of the tank must be done until there are no longer traces of detergent in the water</w:t>
      </w:r>
      <w:r w:rsidR="00B23888" w:rsidRPr="002C58F1">
        <w:rPr>
          <w:u w:color="4F81BD"/>
          <w:lang w:val="en-AU"/>
        </w:rPr>
        <w:t>.</w:t>
      </w:r>
    </w:p>
    <w:sectPr w:rsidR="00D50914" w:rsidRPr="002C58F1">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4DF0" w14:textId="77777777" w:rsidR="008F7A07" w:rsidRDefault="008F7A07">
      <w:r>
        <w:separator/>
      </w:r>
    </w:p>
  </w:endnote>
  <w:endnote w:type="continuationSeparator" w:id="0">
    <w:p w14:paraId="481E19EF" w14:textId="77777777" w:rsidR="008F7A07" w:rsidRDefault="008F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C574" w14:textId="77777777" w:rsidR="008F7A07" w:rsidRDefault="008F7A07">
      <w:r>
        <w:separator/>
      </w:r>
    </w:p>
  </w:footnote>
  <w:footnote w:type="continuationSeparator" w:id="0">
    <w:p w14:paraId="06B137DD" w14:textId="77777777" w:rsidR="008F7A07" w:rsidRDefault="008F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2353429F"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B323CB">
      <w:t>1</w:t>
    </w:r>
    <w:r w:rsidR="002C58F1">
      <w:t>67</w:t>
    </w:r>
    <w:r>
      <w:tab/>
    </w:r>
    <w:r>
      <w:rPr>
        <w:sz w:val="24"/>
        <w:szCs w:val="24"/>
      </w:rPr>
      <w:t>Procedure</w:t>
    </w:r>
  </w:p>
  <w:p w14:paraId="0EAA7A52" w14:textId="6773B677" w:rsidR="00D50914" w:rsidRPr="00C63137" w:rsidRDefault="002C58F1"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2C58F1">
      <w:rPr>
        <w:rFonts w:cs="Arial"/>
        <w:bCs/>
        <w:color w:val="000000" w:themeColor="text1"/>
        <w:sz w:val="28"/>
        <w:szCs w:val="28"/>
        <w:lang w:val="en-GB"/>
      </w:rPr>
      <w:t>Drinking Water</w:t>
    </w:r>
    <w:r>
      <w:t xml:space="preserve"> </w:t>
    </w:r>
    <w:r>
      <w:rPr>
        <w:rFonts w:cs="Arial"/>
        <w:bCs/>
        <w:color w:val="000000" w:themeColor="text1"/>
        <w:sz w:val="28"/>
        <w:szCs w:val="28"/>
        <w:lang w:val="en-GB"/>
      </w:rPr>
      <w:t>Quality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7A0D6A6B" w:rsidR="00D50914" w:rsidRPr="00137DDB" w:rsidRDefault="002C58F1" w:rsidP="00137DDB">
    <w:pPr>
      <w:pStyle w:val="ReportCoverTitle"/>
      <w:spacing w:before="120"/>
      <w:rPr>
        <w:rFonts w:ascii="Times" w:hAnsi="Times" w:cs="Times"/>
      </w:rPr>
    </w:pPr>
    <w:r>
      <w:t xml:space="preserve">Drinking Water </w:t>
    </w:r>
    <w:r>
      <w:t>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2E2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9246E"/>
    <w:multiLevelType w:val="hybridMultilevel"/>
    <w:tmpl w:val="B55ABA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33332D0"/>
    <w:multiLevelType w:val="hybridMultilevel"/>
    <w:tmpl w:val="24BCB1F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9A86CC5"/>
    <w:multiLevelType w:val="hybridMultilevel"/>
    <w:tmpl w:val="039A7B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8B14655"/>
    <w:multiLevelType w:val="hybridMultilevel"/>
    <w:tmpl w:val="C02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505641FE"/>
    <w:multiLevelType w:val="hybridMultilevel"/>
    <w:tmpl w:val="FFC823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58395AC8"/>
    <w:multiLevelType w:val="multilevel"/>
    <w:tmpl w:val="5562FB50"/>
    <w:numStyleLink w:val="ImportedStyle1"/>
  </w:abstractNum>
  <w:abstractNum w:abstractNumId="35" w15:restartNumberingAfterBreak="0">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15:restartNumberingAfterBreak="0">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5FF63A74"/>
    <w:multiLevelType w:val="hybridMultilevel"/>
    <w:tmpl w:val="49C8007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8"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4"/>
  </w:num>
  <w:num w:numId="3">
    <w:abstractNumId w:val="3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4"/>
    <w:lvlOverride w:ilvl="0">
      <w:startOverride w:val="1"/>
    </w:lvlOverride>
  </w:num>
  <w:num w:numId="5">
    <w:abstractNumId w:val="3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3"/>
  </w:num>
  <w:num w:numId="8">
    <w:abstractNumId w:val="41"/>
  </w:num>
  <w:num w:numId="9">
    <w:abstractNumId w:val="6"/>
  </w:num>
  <w:num w:numId="10">
    <w:abstractNumId w:val="25"/>
  </w:num>
  <w:num w:numId="11">
    <w:abstractNumId w:val="24"/>
  </w:num>
  <w:num w:numId="12">
    <w:abstractNumId w:val="12"/>
  </w:num>
  <w:num w:numId="13">
    <w:abstractNumId w:val="4"/>
  </w:num>
  <w:num w:numId="14">
    <w:abstractNumId w:val="7"/>
  </w:num>
  <w:num w:numId="15">
    <w:abstractNumId w:val="39"/>
  </w:num>
  <w:num w:numId="16">
    <w:abstractNumId w:val="15"/>
  </w:num>
  <w:num w:numId="17">
    <w:abstractNumId w:val="32"/>
  </w:num>
  <w:num w:numId="18">
    <w:abstractNumId w:val="13"/>
  </w:num>
  <w:num w:numId="19">
    <w:abstractNumId w:val="1"/>
  </w:num>
  <w:num w:numId="20">
    <w:abstractNumId w:val="3"/>
  </w:num>
  <w:num w:numId="21">
    <w:abstractNumId w:val="20"/>
  </w:num>
  <w:num w:numId="22">
    <w:abstractNumId w:val="31"/>
  </w:num>
  <w:num w:numId="23">
    <w:abstractNumId w:val="33"/>
  </w:num>
  <w:num w:numId="24">
    <w:abstractNumId w:val="22"/>
  </w:num>
  <w:num w:numId="25">
    <w:abstractNumId w:val="28"/>
  </w:num>
  <w:num w:numId="26">
    <w:abstractNumId w:val="29"/>
  </w:num>
  <w:num w:numId="27">
    <w:abstractNumId w:val="38"/>
  </w:num>
  <w:num w:numId="28">
    <w:abstractNumId w:val="18"/>
  </w:num>
  <w:num w:numId="29">
    <w:abstractNumId w:val="26"/>
  </w:num>
  <w:num w:numId="30">
    <w:abstractNumId w:val="23"/>
  </w:num>
  <w:num w:numId="31">
    <w:abstractNumId w:val="8"/>
  </w:num>
  <w:num w:numId="32">
    <w:abstractNumId w:val="16"/>
  </w:num>
  <w:num w:numId="33">
    <w:abstractNumId w:val="35"/>
  </w:num>
  <w:num w:numId="34">
    <w:abstractNumId w:val="10"/>
  </w:num>
  <w:num w:numId="35">
    <w:abstractNumId w:val="19"/>
  </w:num>
  <w:num w:numId="36">
    <w:abstractNumId w:val="36"/>
  </w:num>
  <w:num w:numId="37">
    <w:abstractNumId w:val="27"/>
  </w:num>
  <w:num w:numId="38">
    <w:abstractNumId w:val="21"/>
  </w:num>
  <w:num w:numId="39">
    <w:abstractNumId w:val="40"/>
  </w:num>
  <w:num w:numId="40">
    <w:abstractNumId w:val="42"/>
  </w:num>
  <w:num w:numId="41">
    <w:abstractNumId w:val="9"/>
  </w:num>
  <w:num w:numId="42">
    <w:abstractNumId w:val="17"/>
  </w:num>
  <w:num w:numId="43">
    <w:abstractNumId w:val="5"/>
  </w:num>
  <w:num w:numId="44">
    <w:abstractNumId w:val="11"/>
  </w:num>
  <w:num w:numId="45">
    <w:abstractNumId w:val="30"/>
  </w:num>
  <w:num w:numId="46">
    <w:abstractNumId w:val="14"/>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36919"/>
    <w:rsid w:val="00086138"/>
    <w:rsid w:val="000C1049"/>
    <w:rsid w:val="00126122"/>
    <w:rsid w:val="00126526"/>
    <w:rsid w:val="00137DDB"/>
    <w:rsid w:val="001C056D"/>
    <w:rsid w:val="001C0581"/>
    <w:rsid w:val="001C2FCA"/>
    <w:rsid w:val="001D0E6E"/>
    <w:rsid w:val="00207ECF"/>
    <w:rsid w:val="0022460B"/>
    <w:rsid w:val="00226C09"/>
    <w:rsid w:val="00230865"/>
    <w:rsid w:val="0025062B"/>
    <w:rsid w:val="00282959"/>
    <w:rsid w:val="002B3590"/>
    <w:rsid w:val="002C0632"/>
    <w:rsid w:val="002C58F1"/>
    <w:rsid w:val="002C78DF"/>
    <w:rsid w:val="002E4CC8"/>
    <w:rsid w:val="003043AD"/>
    <w:rsid w:val="00312B9E"/>
    <w:rsid w:val="00314470"/>
    <w:rsid w:val="00344F84"/>
    <w:rsid w:val="003555C8"/>
    <w:rsid w:val="00357A49"/>
    <w:rsid w:val="003759DC"/>
    <w:rsid w:val="0038229B"/>
    <w:rsid w:val="003F10A2"/>
    <w:rsid w:val="003F4F6A"/>
    <w:rsid w:val="00400B5F"/>
    <w:rsid w:val="004221D9"/>
    <w:rsid w:val="00440985"/>
    <w:rsid w:val="0044362D"/>
    <w:rsid w:val="00451B0C"/>
    <w:rsid w:val="004A111C"/>
    <w:rsid w:val="004A2B66"/>
    <w:rsid w:val="004F0446"/>
    <w:rsid w:val="004F67E3"/>
    <w:rsid w:val="00532E78"/>
    <w:rsid w:val="005432D9"/>
    <w:rsid w:val="00553C5E"/>
    <w:rsid w:val="0056383D"/>
    <w:rsid w:val="005720DD"/>
    <w:rsid w:val="005803EB"/>
    <w:rsid w:val="005C2371"/>
    <w:rsid w:val="005C4627"/>
    <w:rsid w:val="00624F0C"/>
    <w:rsid w:val="00626381"/>
    <w:rsid w:val="006304FE"/>
    <w:rsid w:val="006349F0"/>
    <w:rsid w:val="00645C97"/>
    <w:rsid w:val="0068069A"/>
    <w:rsid w:val="00680BE4"/>
    <w:rsid w:val="00687BAE"/>
    <w:rsid w:val="006B0FE3"/>
    <w:rsid w:val="006B4B67"/>
    <w:rsid w:val="006C2CB8"/>
    <w:rsid w:val="006E57F9"/>
    <w:rsid w:val="0070569C"/>
    <w:rsid w:val="00714656"/>
    <w:rsid w:val="00772102"/>
    <w:rsid w:val="007936C7"/>
    <w:rsid w:val="007B3A2F"/>
    <w:rsid w:val="007B770B"/>
    <w:rsid w:val="007D02E3"/>
    <w:rsid w:val="007D0665"/>
    <w:rsid w:val="007F2BBB"/>
    <w:rsid w:val="00805A70"/>
    <w:rsid w:val="00805B8E"/>
    <w:rsid w:val="00822E89"/>
    <w:rsid w:val="00824350"/>
    <w:rsid w:val="00834FCE"/>
    <w:rsid w:val="008426E2"/>
    <w:rsid w:val="00862835"/>
    <w:rsid w:val="00862C0B"/>
    <w:rsid w:val="008665C6"/>
    <w:rsid w:val="0087376E"/>
    <w:rsid w:val="00897121"/>
    <w:rsid w:val="008F7A07"/>
    <w:rsid w:val="00917345"/>
    <w:rsid w:val="00924D60"/>
    <w:rsid w:val="00926998"/>
    <w:rsid w:val="00936B45"/>
    <w:rsid w:val="00946091"/>
    <w:rsid w:val="00954D05"/>
    <w:rsid w:val="00960940"/>
    <w:rsid w:val="00962E68"/>
    <w:rsid w:val="00976AE3"/>
    <w:rsid w:val="009F797C"/>
    <w:rsid w:val="00A07016"/>
    <w:rsid w:val="00A55697"/>
    <w:rsid w:val="00A963CC"/>
    <w:rsid w:val="00AA5092"/>
    <w:rsid w:val="00AE3137"/>
    <w:rsid w:val="00B1781C"/>
    <w:rsid w:val="00B23888"/>
    <w:rsid w:val="00B323CB"/>
    <w:rsid w:val="00B40F01"/>
    <w:rsid w:val="00B61A45"/>
    <w:rsid w:val="00B638A0"/>
    <w:rsid w:val="00B74DFA"/>
    <w:rsid w:val="00B8651D"/>
    <w:rsid w:val="00B86E30"/>
    <w:rsid w:val="00B9173F"/>
    <w:rsid w:val="00B96E54"/>
    <w:rsid w:val="00BA406C"/>
    <w:rsid w:val="00BB544D"/>
    <w:rsid w:val="00C166EC"/>
    <w:rsid w:val="00C31D4A"/>
    <w:rsid w:val="00C42BEE"/>
    <w:rsid w:val="00C50E71"/>
    <w:rsid w:val="00C547AF"/>
    <w:rsid w:val="00C605A6"/>
    <w:rsid w:val="00C63137"/>
    <w:rsid w:val="00C67A57"/>
    <w:rsid w:val="00C75294"/>
    <w:rsid w:val="00C81E03"/>
    <w:rsid w:val="00CA283B"/>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67888"/>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67888"/>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2C58F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2C58F1"/>
    <w:rPr>
      <w:rFonts w:ascii="Tahoma" w:eastAsia="Times New Roman" w:hAnsi="Tahoma" w:cs="Tahoma"/>
      <w:sz w:val="16"/>
      <w:szCs w:val="16"/>
      <w:bdr w:val="none" w:sz="0" w:space="0" w:color="aut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6A8F5-A8E1-48B8-9001-145284A10C21}"/>
</file>

<file path=customXml/itemProps2.xml><?xml version="1.0" encoding="utf-8"?>
<ds:datastoreItem xmlns:ds="http://schemas.openxmlformats.org/officeDocument/2006/customXml" ds:itemID="{2CA16224-342F-4AF7-8C75-ED253A1B5F75}"/>
</file>

<file path=customXml/itemProps3.xml><?xml version="1.0" encoding="utf-8"?>
<ds:datastoreItem xmlns:ds="http://schemas.openxmlformats.org/officeDocument/2006/customXml" ds:itemID="{2EA096A3-50F8-4C4C-AA70-BF568D6D57FD}"/>
</file>

<file path=docProps/app.xml><?xml version="1.0" encoding="utf-8"?>
<Properties xmlns="http://schemas.openxmlformats.org/officeDocument/2006/extended-properties" xmlns:vt="http://schemas.openxmlformats.org/officeDocument/2006/docPropsVTypes">
  <Template>Normal.dotm</Template>
  <TotalTime>8</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3</cp:revision>
  <dcterms:created xsi:type="dcterms:W3CDTF">2019-03-07T22:24:00Z</dcterms:created>
  <dcterms:modified xsi:type="dcterms:W3CDTF">2019-03-07T22:37:00Z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