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0413B762" w:rsidR="006F2C09" w:rsidRPr="008E1872" w:rsidRDefault="00B26A7E" w:rsidP="008E1872">
            <w:pPr>
              <w:pStyle w:val="OKHeading"/>
            </w:pPr>
            <w:bookmarkStart w:id="0" w:name="_GoBack"/>
            <w:bookmarkEnd w:id="0"/>
            <w:r w:rsidRPr="00B26A7E">
              <w:t>Selecting and Authorising Forklifts for Stability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eastAsia="en-AU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C11CBF" w:rsidRPr="00243194" w14:paraId="6CB16DF5" w14:textId="77777777" w:rsidTr="00B449B1">
        <w:trPr>
          <w:trHeight w:val="21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7D928" w14:textId="5FE150DC" w:rsidR="00C11CBF" w:rsidRPr="005E4BC9" w:rsidRDefault="00C11CBF" w:rsidP="00C11CBF">
            <w:pPr>
              <w:pStyle w:val="OKTable"/>
            </w:pPr>
            <w:r w:rsidRPr="004465DA">
              <w:rPr>
                <w:rFonts w:eastAsia="ヒラギノ角ゴ Pro W3"/>
              </w:rPr>
              <w:t xml:space="preserve">Forklifts are purchased/ leased/ hired to meet site specification which authorises them for use on site.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C11CBF" w:rsidRPr="006F2C09" w:rsidRDefault="00C11CB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C11CBF" w:rsidRPr="006F2C09" w:rsidRDefault="00C11CB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C11CBF" w:rsidRPr="006F2C09" w:rsidRDefault="00C11CBF" w:rsidP="00C11CBF">
            <w:pPr>
              <w:pStyle w:val="OKTable"/>
            </w:pPr>
          </w:p>
        </w:tc>
      </w:tr>
      <w:tr w:rsidR="00C11CBF" w:rsidRPr="00243194" w14:paraId="732A81A1" w14:textId="77777777" w:rsidTr="00D95D35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37AC0" w14:textId="1BDD58B3" w:rsidR="00C11CBF" w:rsidRPr="00A0501D" w:rsidRDefault="00C11CBF" w:rsidP="00C11CBF">
            <w:pPr>
              <w:pStyle w:val="OKTable"/>
              <w:rPr>
                <w:rFonts w:eastAsia="ヒラギノ角ゴ Pro W3"/>
              </w:rPr>
            </w:pPr>
            <w:r w:rsidRPr="004465DA">
              <w:rPr>
                <w:rFonts w:eastAsia="ヒラギノ角ゴ Pro W3"/>
              </w:rPr>
              <w:t>All terrain / rough terrain forklift required where: a) operating off handstand, b) operating in mud.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C11CBF" w:rsidRPr="006F2C09" w:rsidRDefault="00C11CB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C11CBF" w:rsidRPr="006F2C09" w:rsidRDefault="00C11CB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C11CBF" w:rsidRPr="006F2C09" w:rsidRDefault="00C11CBF" w:rsidP="00C11CBF">
            <w:pPr>
              <w:pStyle w:val="OKTable"/>
            </w:pPr>
          </w:p>
        </w:tc>
      </w:tr>
      <w:tr w:rsidR="00C11CBF" w:rsidRPr="00243194" w14:paraId="74E175D3" w14:textId="77777777" w:rsidTr="00C11CBF">
        <w:trPr>
          <w:trHeight w:val="72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6585E" w14:textId="49B765CF" w:rsidR="00C11CBF" w:rsidRPr="00A0501D" w:rsidRDefault="00C11CBF" w:rsidP="00C11CBF">
            <w:pPr>
              <w:pStyle w:val="OKTable"/>
              <w:rPr>
                <w:rFonts w:eastAsia="ヒラギノ角ゴ Pro W3"/>
              </w:rPr>
            </w:pPr>
            <w:r w:rsidRPr="004465DA">
              <w:rPr>
                <w:rFonts w:eastAsia="ヒラギノ角ゴ Pro W3"/>
              </w:rPr>
              <w:t>Counterbalanced forklifts making lifts over four metres, are fitted wit</w:t>
            </w:r>
            <w:r>
              <w:rPr>
                <w:rFonts w:eastAsia="ヒラギノ角ゴ Pro W3"/>
              </w:rPr>
              <w:t xml:space="preserve">h dual or twin front wheels, or have wider wheel base, and </w:t>
            </w:r>
            <w:r w:rsidRPr="004465DA">
              <w:rPr>
                <w:rFonts w:eastAsia="ヒラギノ角ゴ Pro W3"/>
              </w:rPr>
              <w:t>large single pneumatic tyres (greater than 500mm wide) fitted to front wheels to improve stability (excluding all terrain or rough terrain units).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C11CBF" w:rsidRPr="006F2C09" w:rsidRDefault="00C11CB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C11CBF" w:rsidRPr="006F2C09" w:rsidRDefault="00C11CB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C11CBF" w:rsidRPr="006F2C09" w:rsidRDefault="00C11CBF" w:rsidP="00C11CBF">
            <w:pPr>
              <w:pStyle w:val="OKTable"/>
            </w:pPr>
          </w:p>
        </w:tc>
      </w:tr>
      <w:tr w:rsidR="00C11CBF" w:rsidRPr="00243194" w14:paraId="6D68DB0F" w14:textId="77777777" w:rsidTr="00D95D35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12B3" w14:textId="20F7C6AA" w:rsidR="00C11CBF" w:rsidRPr="00A0501D" w:rsidRDefault="00C11CBF" w:rsidP="00C11CBF">
            <w:pPr>
              <w:pStyle w:val="OKTable"/>
              <w:rPr>
                <w:rFonts w:eastAsia="ヒラギノ角ゴ Pro W3"/>
              </w:rPr>
            </w:pPr>
            <w:r w:rsidRPr="004465DA">
              <w:rPr>
                <w:rFonts w:eastAsia="ヒラギノ角ゴ Pro W3"/>
              </w:rPr>
              <w:t>Forklifts selected with a rated capacity in excess of expected load, to provide a safety margin and improve stability when placing loads at height.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C11CBF" w:rsidRPr="006F2C09" w:rsidRDefault="00C11CB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C11CBF" w:rsidRPr="006F2C09" w:rsidRDefault="00C11CB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C11CBF" w:rsidRPr="006F2C09" w:rsidRDefault="00C11CBF" w:rsidP="00C11CBF">
            <w:pPr>
              <w:pStyle w:val="OKTable"/>
            </w:pPr>
          </w:p>
        </w:tc>
      </w:tr>
      <w:tr w:rsidR="0039317F" w:rsidRPr="00243194" w14:paraId="766FC0C5" w14:textId="77777777" w:rsidTr="00A63009">
        <w:trPr>
          <w:trHeight w:val="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DEEFC" w14:textId="77777777" w:rsidR="0039317F" w:rsidRPr="004465DA" w:rsidRDefault="0039317F" w:rsidP="00A63009">
            <w:pPr>
              <w:pStyle w:val="OKTable"/>
              <w:rPr>
                <w:rFonts w:eastAsia="ヒラギノ角ゴ Pro W3"/>
              </w:rPr>
            </w:pPr>
            <w:r w:rsidRPr="004465DA">
              <w:rPr>
                <w:rFonts w:eastAsia="ヒラギノ角ゴ Pro W3"/>
              </w:rPr>
              <w:t>Forklift to be speed limited to maximum 15 km/hr. Control to be sealed.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2162F8F" w14:textId="77777777" w:rsidR="0039317F" w:rsidRPr="006F2C09" w:rsidRDefault="0039317F" w:rsidP="00A6300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82B5E04" w14:textId="77777777" w:rsidR="0039317F" w:rsidRPr="006F2C09" w:rsidRDefault="0039317F" w:rsidP="00A6300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C2637F" w14:textId="77777777" w:rsidR="0039317F" w:rsidRPr="006F2C09" w:rsidRDefault="0039317F" w:rsidP="00A63009">
            <w:pPr>
              <w:pStyle w:val="OKTable"/>
            </w:pPr>
          </w:p>
        </w:tc>
      </w:tr>
      <w:tr w:rsidR="0039317F" w:rsidRPr="00243194" w14:paraId="3CFF4C0B" w14:textId="77777777" w:rsidTr="00D95D35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6367" w14:textId="63519B35" w:rsidR="0039317F" w:rsidRPr="007701C1" w:rsidRDefault="0039317F" w:rsidP="00C11CBF">
            <w:pPr>
              <w:pStyle w:val="OKTable"/>
              <w:rPr>
                <w:rFonts w:eastAsia="ヒラギノ角ゴ Pro W3"/>
              </w:rPr>
            </w:pPr>
            <w:r w:rsidRPr="004465DA">
              <w:t>Yard /Non-industrial forklift required where:</w:t>
            </w:r>
            <w:r>
              <w:t xml:space="preserve"> </w:t>
            </w:r>
            <w:r w:rsidRPr="004465DA">
              <w:t xml:space="preserve">a) tramming or travelling longer distances on dirt roads, b) operating in loose dirt, c) surfaces have bigger steps  50mm high, d) operating on uneven ground, e)operating across sloping ground.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1A341E" w14:textId="77777777" w:rsidR="0039317F" w:rsidRPr="006F2C09" w:rsidRDefault="0039317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44E4A9A" w14:textId="77777777" w:rsidR="0039317F" w:rsidRPr="006F2C09" w:rsidRDefault="0039317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90B869" w14:textId="77777777" w:rsidR="0039317F" w:rsidRPr="006F2C09" w:rsidRDefault="0039317F" w:rsidP="00C11CBF">
            <w:pPr>
              <w:pStyle w:val="OKTable"/>
            </w:pPr>
          </w:p>
        </w:tc>
      </w:tr>
      <w:tr w:rsidR="0039317F" w:rsidRPr="00243194" w14:paraId="7F07D55C" w14:textId="77777777" w:rsidTr="00D95D35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D72B0" w14:textId="684A507E" w:rsidR="0039317F" w:rsidRPr="007701C1" w:rsidRDefault="0039317F" w:rsidP="00C11CBF">
            <w:pPr>
              <w:pStyle w:val="OKTable"/>
              <w:rPr>
                <w:rFonts w:eastAsia="ヒラギノ角ゴ Pro W3"/>
              </w:rPr>
            </w:pPr>
            <w:r w:rsidRPr="004465DA">
              <w:t>Forklift fitted with flashing beacons, a horn and reversing alarms with lighting for visibility and signalling, e.g. headlights, tail lights, brake lights and indicators.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2557FE3" w14:textId="77777777" w:rsidR="0039317F" w:rsidRPr="006F2C09" w:rsidRDefault="0039317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517F8EA" w14:textId="77777777" w:rsidR="0039317F" w:rsidRPr="006F2C09" w:rsidRDefault="0039317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B4ED7D" w14:textId="77777777" w:rsidR="0039317F" w:rsidRPr="006F2C09" w:rsidRDefault="0039317F" w:rsidP="00C11CBF">
            <w:pPr>
              <w:pStyle w:val="OKTable"/>
            </w:pPr>
          </w:p>
        </w:tc>
      </w:tr>
      <w:tr w:rsidR="0039317F" w:rsidRPr="00243194" w14:paraId="20F656B4" w14:textId="77777777" w:rsidTr="00D95D35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0DAFC" w14:textId="1B7150BA" w:rsidR="0039317F" w:rsidRPr="007701C1" w:rsidRDefault="0039317F" w:rsidP="00C11CBF">
            <w:pPr>
              <w:pStyle w:val="OKTable"/>
              <w:rPr>
                <w:rFonts w:eastAsia="ヒラギノ角ゴ Pro W3"/>
              </w:rPr>
            </w:pPr>
            <w:r w:rsidRPr="004465DA">
              <w:t>Equipment operated from a seated position fitted with:</w:t>
            </w:r>
            <w:r>
              <w:t xml:space="preserve"> </w:t>
            </w:r>
            <w:r w:rsidRPr="004465DA">
              <w:t>a) seat belts for all occupants, b) roll-over protection, c) signs fitted in the cabin that provide safety directions for a roll-over event,</w:t>
            </w:r>
            <w:r>
              <w:t xml:space="preserve"> </w:t>
            </w:r>
            <w:r w:rsidRPr="004465DA">
              <w:t>d) roof protection where a fall</w:t>
            </w:r>
            <w:r>
              <w:t xml:space="preserve">ing-object Major Hazard exists </w:t>
            </w:r>
            <w:r w:rsidRPr="004465DA">
              <w:t>(integral FOPS)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FBDF766" w14:textId="77777777" w:rsidR="0039317F" w:rsidRPr="006F2C09" w:rsidRDefault="0039317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5C8D5A7" w14:textId="77777777" w:rsidR="0039317F" w:rsidRPr="006F2C09" w:rsidRDefault="0039317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B93A18" w14:textId="77777777" w:rsidR="0039317F" w:rsidRPr="006F2C09" w:rsidRDefault="0039317F" w:rsidP="00C11CBF">
            <w:pPr>
              <w:pStyle w:val="OKTable"/>
            </w:pPr>
          </w:p>
        </w:tc>
      </w:tr>
      <w:tr w:rsidR="0039317F" w:rsidRPr="00243194" w14:paraId="6022238C" w14:textId="77777777" w:rsidTr="0039317F">
        <w:trPr>
          <w:trHeight w:val="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7BEA6" w14:textId="63B9C89D" w:rsidR="0039317F" w:rsidRPr="007701C1" w:rsidRDefault="0039317F" w:rsidP="00C11CBF">
            <w:pPr>
              <w:pStyle w:val="OKTable"/>
              <w:rPr>
                <w:rFonts w:eastAsia="ヒラギノ角ゴ Pro W3"/>
              </w:rPr>
            </w:pPr>
            <w:r w:rsidRPr="004465DA">
              <w:t>Forklifts fitted with dry-chemical powder fire extinguisher. Typically</w:t>
            </w:r>
            <w:r>
              <w:t>,</w:t>
            </w:r>
            <w:r w:rsidRPr="004465DA">
              <w:t xml:space="preserve"> 4.5kg for diesel unit.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449CBAF" w14:textId="77777777" w:rsidR="0039317F" w:rsidRPr="006F2C09" w:rsidRDefault="0039317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E17C932" w14:textId="77777777" w:rsidR="0039317F" w:rsidRPr="006F2C09" w:rsidRDefault="0039317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8E6E16" w14:textId="77777777" w:rsidR="0039317F" w:rsidRPr="006F2C09" w:rsidRDefault="0039317F" w:rsidP="00C11CBF">
            <w:pPr>
              <w:pStyle w:val="OKTable"/>
            </w:pPr>
          </w:p>
        </w:tc>
      </w:tr>
    </w:tbl>
    <w:p w14:paraId="0C2FF6CF" w14:textId="5E574785" w:rsidR="005847D2" w:rsidRPr="005847D2" w:rsidRDefault="005847D2" w:rsidP="005847D2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C11CBF" w:rsidRPr="006F2C09" w14:paraId="59D59E9E" w14:textId="77777777" w:rsidTr="004613E2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20E9C925" w:rsidR="00C11CBF" w:rsidRPr="003A7D2D" w:rsidRDefault="00C11CBF" w:rsidP="00C11CBF">
            <w:pPr>
              <w:pStyle w:val="OKTable"/>
              <w:rPr>
                <w:rFonts w:eastAsia="ヒラギノ角ゴ Pro W3"/>
              </w:rPr>
            </w:pPr>
            <w:r w:rsidRPr="00CC3C68">
              <w:rPr>
                <w:rFonts w:eastAsia="ヒラギノ角ゴ Pro W3"/>
              </w:rPr>
              <w:t>Select forklifts with a rated capacity in excess of expected load.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C11CBF" w:rsidRPr="00B31598" w:rsidRDefault="00C11CBF" w:rsidP="00C11CBF">
            <w:pPr>
              <w:pStyle w:val="OKTable"/>
            </w:pPr>
          </w:p>
        </w:tc>
      </w:tr>
      <w:tr w:rsidR="00C11CBF" w:rsidRPr="006F2C09" w14:paraId="5721E963" w14:textId="77777777" w:rsidTr="004613E2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1264ED17" w:rsidR="00C11CBF" w:rsidRPr="00A0501D" w:rsidRDefault="00C11CBF" w:rsidP="00C11CBF">
            <w:pPr>
              <w:pStyle w:val="OKTable"/>
              <w:rPr>
                <w:rFonts w:eastAsia="ヒラギノ角ゴ Pro W3"/>
              </w:rPr>
            </w:pPr>
            <w:r w:rsidRPr="00CC3C68">
              <w:rPr>
                <w:rFonts w:eastAsia="ヒラギノ角ゴ Pro W3"/>
              </w:rPr>
              <w:t xml:space="preserve">Select forklift type based on operating environment.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C11CBF" w:rsidRPr="00B31598" w:rsidRDefault="00C11CBF" w:rsidP="00C11CBF">
            <w:pPr>
              <w:pStyle w:val="OKTable"/>
            </w:pPr>
          </w:p>
        </w:tc>
      </w:tr>
    </w:tbl>
    <w:p w14:paraId="66BAAC4C" w14:textId="1A9D2660" w:rsidR="00AA0FF7" w:rsidRDefault="00AA0FF7" w:rsidP="00AA0FF7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p w14:paraId="41E0C38C" w14:textId="77777777" w:rsidR="00AA0FF7" w:rsidRPr="00AA0FF7" w:rsidRDefault="00AA0FF7" w:rsidP="00AA0FF7"/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C11CBF" w:rsidRPr="00AE5E19" w14:paraId="3A82B2C9" w14:textId="77777777" w:rsidTr="00122367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3E991D3A" w:rsidR="00C11CBF" w:rsidRPr="005E4BC9" w:rsidRDefault="00C11CBF" w:rsidP="00C11CBF">
            <w:pPr>
              <w:pStyle w:val="OKTable"/>
            </w:pPr>
            <w:r w:rsidRPr="00CC3C68">
              <w:rPr>
                <w:rFonts w:eastAsia="ヒラギノ角ゴ Pro W3"/>
              </w:rPr>
              <w:t>Do not operate equipment if not trained.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C11CBF" w:rsidRPr="00B31598" w:rsidRDefault="00C11CBF" w:rsidP="00C11CBF">
            <w:pPr>
              <w:pStyle w:val="OKTable"/>
            </w:pPr>
          </w:p>
        </w:tc>
      </w:tr>
      <w:tr w:rsidR="00C11CBF" w:rsidRPr="00AE5E19" w14:paraId="6B2704D1" w14:textId="77777777" w:rsidTr="00CB31FE">
        <w:trPr>
          <w:trHeight w:val="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753FC46C" w:rsidR="00C11CBF" w:rsidRPr="00A0501D" w:rsidRDefault="00C11CBF" w:rsidP="00C11CBF">
            <w:pPr>
              <w:pStyle w:val="OKTable"/>
              <w:rPr>
                <w:rFonts w:eastAsia="ヒラギノ角ゴ Pro W3"/>
              </w:rPr>
            </w:pPr>
            <w:r w:rsidRPr="00CC3C68">
              <w:rPr>
                <w:rFonts w:eastAsia="ヒラギノ角ゴ Pro W3"/>
              </w:rPr>
              <w:t>Use authorised equipment that meets site specification.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C11CBF" w:rsidRPr="00B31598" w:rsidRDefault="00C11CBF" w:rsidP="00C11CBF">
            <w:pPr>
              <w:pStyle w:val="OKTable"/>
            </w:pPr>
          </w:p>
        </w:tc>
      </w:tr>
      <w:tr w:rsidR="00C11CBF" w:rsidRPr="00AE5E19" w14:paraId="2F9E0F5B" w14:textId="77777777" w:rsidTr="00122367">
        <w:trPr>
          <w:trHeight w:val="25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0B7F8" w14:textId="25857352" w:rsidR="00C11CBF" w:rsidRPr="00B02A24" w:rsidRDefault="00C11CBF" w:rsidP="00C11CBF">
            <w:pPr>
              <w:pStyle w:val="OKTable"/>
              <w:rPr>
                <w:rFonts w:eastAsia="ヒラギノ角ゴ Pro W3"/>
              </w:rPr>
            </w:pPr>
            <w:r w:rsidRPr="00CC3C68">
              <w:rPr>
                <w:rFonts w:eastAsia="ヒラギノ角ゴ Pro W3"/>
              </w:rPr>
              <w:t xml:space="preserve">Operate forklift within technical capabilities and limitations of the vehicle for the load/ weight distribution.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DE55F3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940F3D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196754" w14:textId="77777777" w:rsidR="00C11CBF" w:rsidRPr="00B31598" w:rsidRDefault="00C11CBF" w:rsidP="00C11CBF">
            <w:pPr>
              <w:pStyle w:val="OKTable"/>
            </w:pPr>
          </w:p>
        </w:tc>
      </w:tr>
      <w:tr w:rsidR="00C11CBF" w:rsidRPr="00AE5E19" w14:paraId="3C7ECE42" w14:textId="77777777" w:rsidTr="00122367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5D03F" w14:textId="7336018D" w:rsidR="00C11CBF" w:rsidRPr="001E1A7A" w:rsidRDefault="00C11CBF" w:rsidP="00C11CBF">
            <w:pPr>
              <w:pStyle w:val="OKTable"/>
              <w:rPr>
                <w:rFonts w:eastAsia="ヒラギノ角ゴ Pro W3"/>
              </w:rPr>
            </w:pPr>
            <w:r w:rsidRPr="00CC3C68">
              <w:rPr>
                <w:rFonts w:eastAsia="ヒラギノ角ゴ Pro W3"/>
              </w:rPr>
              <w:t>Operate forklift within limits of load rating chart including for any attachments. Check weight to be lifted against safe working limit of lifting device before lifting.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E5307C3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25D810E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2CDF4A" w14:textId="77777777" w:rsidR="00C11CBF" w:rsidRPr="00B31598" w:rsidRDefault="00C11CBF" w:rsidP="00C11CBF">
            <w:pPr>
              <w:pStyle w:val="OKTable"/>
            </w:pPr>
          </w:p>
        </w:tc>
      </w:tr>
    </w:tbl>
    <w:p w14:paraId="724CCE1C" w14:textId="49E2C110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1333EB9E" w:rsidR="005E4BC9" w:rsidRPr="00831C0E" w:rsidRDefault="0031243F" w:rsidP="00831C0E">
      <w:pPr>
        <w:pStyle w:val="OKComments"/>
      </w:pPr>
      <w:r w:rsidRPr="001C15EA">
        <w:tab/>
      </w:r>
    </w:p>
    <w:sectPr w:rsidR="005E4BC9" w:rsidRPr="00831C0E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2F425" w14:textId="77777777" w:rsidR="00E567A4" w:rsidRDefault="00E567A4" w:rsidP="006F2C09">
      <w:r>
        <w:separator/>
      </w:r>
    </w:p>
  </w:endnote>
  <w:endnote w:type="continuationSeparator" w:id="0">
    <w:p w14:paraId="7B7DB361" w14:textId="77777777" w:rsidR="00E567A4" w:rsidRDefault="00E567A4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CB77A" w14:textId="77777777" w:rsidR="00E567A4" w:rsidRDefault="00E567A4" w:rsidP="006F2C09">
      <w:r>
        <w:separator/>
      </w:r>
    </w:p>
  </w:footnote>
  <w:footnote w:type="continuationSeparator" w:id="0">
    <w:p w14:paraId="629D94C6" w14:textId="77777777" w:rsidR="00E567A4" w:rsidRDefault="00E567A4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C2AD0"/>
    <w:rsid w:val="001043BB"/>
    <w:rsid w:val="00111011"/>
    <w:rsid w:val="00137361"/>
    <w:rsid w:val="00172D90"/>
    <w:rsid w:val="0019355D"/>
    <w:rsid w:val="001C15EA"/>
    <w:rsid w:val="00252FF5"/>
    <w:rsid w:val="0031243F"/>
    <w:rsid w:val="003727F9"/>
    <w:rsid w:val="0039317F"/>
    <w:rsid w:val="003A7D2D"/>
    <w:rsid w:val="003E7A7D"/>
    <w:rsid w:val="0041764C"/>
    <w:rsid w:val="00483F4B"/>
    <w:rsid w:val="004B3F46"/>
    <w:rsid w:val="005014A6"/>
    <w:rsid w:val="005607EF"/>
    <w:rsid w:val="005847D2"/>
    <w:rsid w:val="00591B1B"/>
    <w:rsid w:val="005D7BEF"/>
    <w:rsid w:val="005E4BC9"/>
    <w:rsid w:val="005E4CE3"/>
    <w:rsid w:val="0060152D"/>
    <w:rsid w:val="006343FA"/>
    <w:rsid w:val="0065624A"/>
    <w:rsid w:val="006F2C09"/>
    <w:rsid w:val="00780FB1"/>
    <w:rsid w:val="00831C0E"/>
    <w:rsid w:val="008844F3"/>
    <w:rsid w:val="008E1872"/>
    <w:rsid w:val="008F4836"/>
    <w:rsid w:val="008F502F"/>
    <w:rsid w:val="00910188"/>
    <w:rsid w:val="009A686E"/>
    <w:rsid w:val="00A04049"/>
    <w:rsid w:val="00AA0FF7"/>
    <w:rsid w:val="00AD0017"/>
    <w:rsid w:val="00B00310"/>
    <w:rsid w:val="00B26A7E"/>
    <w:rsid w:val="00B31598"/>
    <w:rsid w:val="00B33714"/>
    <w:rsid w:val="00B449B1"/>
    <w:rsid w:val="00BF6E4E"/>
    <w:rsid w:val="00C11CBF"/>
    <w:rsid w:val="00C505D3"/>
    <w:rsid w:val="00C54628"/>
    <w:rsid w:val="00C62541"/>
    <w:rsid w:val="00C82BF9"/>
    <w:rsid w:val="00CB16CE"/>
    <w:rsid w:val="00CB31FE"/>
    <w:rsid w:val="00CD4FB6"/>
    <w:rsid w:val="00D8181E"/>
    <w:rsid w:val="00E567A4"/>
    <w:rsid w:val="00E87982"/>
    <w:rsid w:val="00F340AC"/>
    <w:rsid w:val="00F40AAF"/>
    <w:rsid w:val="00F950C5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6C85-D2A0-402C-AE45-70471FE6038C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B21771A-9AAF-4FBC-AB09-547497FD6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90FB6-13FB-485C-95B3-586ED7D28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DFE1F9-95DE-48CB-93D4-DBF6E76A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Sabuin, Lin LS</cp:lastModifiedBy>
  <cp:revision>2</cp:revision>
  <dcterms:created xsi:type="dcterms:W3CDTF">2020-04-14T03:19:00Z</dcterms:created>
  <dcterms:modified xsi:type="dcterms:W3CDTF">2020-04-14T03:19:00Z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