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02864731" w:rsidR="006F2C09" w:rsidRPr="008E1872" w:rsidRDefault="00372272" w:rsidP="008E1872">
            <w:pPr>
              <w:pStyle w:val="OKHeading"/>
            </w:pPr>
            <w:bookmarkStart w:id="0" w:name="_GoBack"/>
            <w:bookmarkEnd w:id="0"/>
            <w:r w:rsidRPr="00372272">
              <w:t>Preventing Loads Falling from Forklifts</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eastAsia="en-AU"/>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F950C5" w:rsidRPr="00243194" w14:paraId="6CB16DF5" w14:textId="77777777" w:rsidTr="00F950C5">
        <w:trPr>
          <w:trHeight w:val="50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7D928" w14:textId="5172CBBF" w:rsidR="00F950C5" w:rsidRPr="005E4BC9" w:rsidRDefault="00F950C5" w:rsidP="00F950C5">
            <w:pPr>
              <w:pStyle w:val="OKTable"/>
            </w:pPr>
            <w:r w:rsidRPr="00130BF1">
              <w:rPr>
                <w:rFonts w:eastAsia="ヒラギノ角ゴ Pro W3"/>
              </w:rPr>
              <w:t>Pre-lift load inspection carried out to assess weight and dimension of load suitable to lift with load weight to be checked against safe working limit of forklift or attachment before lifting.</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F950C5" w:rsidRPr="006F2C09" w:rsidRDefault="00F950C5" w:rsidP="00F950C5">
            <w:pPr>
              <w:pStyle w:val="OKTable"/>
            </w:pPr>
          </w:p>
        </w:tc>
      </w:tr>
      <w:tr w:rsidR="00F950C5" w:rsidRPr="00243194" w14:paraId="732A81A1" w14:textId="77777777" w:rsidTr="00B1796B">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37AC0" w14:textId="4B6FDFF9" w:rsidR="00F950C5" w:rsidRPr="00A0501D" w:rsidRDefault="00F950C5" w:rsidP="00F950C5">
            <w:pPr>
              <w:pStyle w:val="OKTable"/>
              <w:rPr>
                <w:rFonts w:eastAsia="ヒラギノ角ゴ Pro W3"/>
              </w:rPr>
            </w:pPr>
            <w:r w:rsidRPr="00130BF1">
              <w:rPr>
                <w:rFonts w:eastAsia="ヒラギノ角ゴ Pro W3"/>
              </w:rPr>
              <w:t xml:space="preserve">Loose items and packaged goods are secured to pallets by straps, bands or stretch wrap to prevent them falling during lifting.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F950C5" w:rsidRPr="006F2C09" w:rsidRDefault="00F950C5" w:rsidP="00F950C5">
            <w:pPr>
              <w:pStyle w:val="OKTable"/>
            </w:pPr>
          </w:p>
        </w:tc>
      </w:tr>
      <w:tr w:rsidR="00F950C5" w:rsidRPr="00243194" w14:paraId="74E175D3" w14:textId="77777777" w:rsidTr="00B1796B">
        <w:trPr>
          <w:trHeight w:val="26"/>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6585E" w14:textId="5B9A41D9" w:rsidR="00F950C5" w:rsidRPr="00A0501D" w:rsidRDefault="00F950C5" w:rsidP="00F950C5">
            <w:pPr>
              <w:pStyle w:val="OKTable"/>
              <w:rPr>
                <w:rFonts w:eastAsia="ヒラギノ角ゴ Pro W3"/>
              </w:rPr>
            </w:pPr>
            <w:r w:rsidRPr="00F56D5B">
              <w:rPr>
                <w:rFonts w:eastAsia="ヒラギノ角ゴ Pro W3"/>
              </w:rPr>
              <w:t>Forklift carriage fitted with load backrest extension</w:t>
            </w:r>
            <w:r w:rsidR="00551005">
              <w:rPr>
                <w:rFonts w:eastAsia="ヒラギノ角ゴ Pro W3"/>
              </w:rPr>
              <w:t xml:space="preserve"> </w:t>
            </w:r>
            <w:r w:rsidRPr="00F56D5B">
              <w:rPr>
                <w:rFonts w:eastAsia="ヒラギノ角ゴ Pro W3"/>
              </w:rPr>
              <w:t>/ guard to stop the load from falling back on the operator or getting in the way of the mast when handling palletised goods.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F950C5" w:rsidRPr="006F2C09" w:rsidRDefault="00F950C5" w:rsidP="00F950C5">
            <w:pPr>
              <w:pStyle w:val="OKTable"/>
            </w:pPr>
          </w:p>
        </w:tc>
      </w:tr>
      <w:tr w:rsidR="00F950C5" w:rsidRPr="00243194" w14:paraId="6D68DB0F" w14:textId="77777777" w:rsidTr="00B1796B">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712B3" w14:textId="5209B455" w:rsidR="00F950C5" w:rsidRPr="00A0501D" w:rsidRDefault="00F950C5" w:rsidP="00F950C5">
            <w:pPr>
              <w:pStyle w:val="OKTable"/>
              <w:rPr>
                <w:rFonts w:eastAsia="ヒラギノ角ゴ Pro W3"/>
              </w:rPr>
            </w:pPr>
            <w:r w:rsidRPr="00F56D5B">
              <w:rPr>
                <w:rFonts w:eastAsia="ヒラギノ角ゴ Pro W3"/>
              </w:rPr>
              <w:t>Legible/ readable load rating charts/plates (inc</w:t>
            </w:r>
            <w:r>
              <w:rPr>
                <w:rFonts w:eastAsia="ヒラギノ角ゴ Pro W3"/>
              </w:rPr>
              <w:t>luding for any attachments used</w:t>
            </w:r>
            <w:r w:rsidRPr="00F56D5B">
              <w:rPr>
                <w:rFonts w:eastAsia="ヒラギノ角ゴ Pro W3"/>
              </w:rPr>
              <w:t>) posted in cab of mobile equipment used for lifting loads.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F950C5" w:rsidRPr="006F2C09" w:rsidRDefault="00F950C5" w:rsidP="00F950C5">
            <w:pPr>
              <w:pStyle w:val="OKTable"/>
            </w:pPr>
          </w:p>
        </w:tc>
      </w:tr>
      <w:tr w:rsidR="00F950C5" w:rsidRPr="00243194" w14:paraId="00FF8582" w14:textId="77777777" w:rsidTr="00F950C5">
        <w:trPr>
          <w:trHeight w:val="71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72D17" w14:textId="20E68340" w:rsidR="00F950C5" w:rsidRPr="008E07D5" w:rsidRDefault="00F950C5" w:rsidP="00F950C5">
            <w:pPr>
              <w:pStyle w:val="OKTable"/>
              <w:rPr>
                <w:rFonts w:eastAsia="ヒラギノ角ゴ Pro W3"/>
              </w:rPr>
            </w:pPr>
            <w:r w:rsidRPr="00F56D5B">
              <w:rPr>
                <w:rFonts w:eastAsia="ヒラギノ角ゴ Pro W3"/>
              </w:rPr>
              <w:t>Forklift attachments which are attached by slippers or sleeves which slide over the forks and are held in place by friction with the forks (and are not directly secured to the forklift carriage itself) must be secured to forklift forks or carriage by secondary restraint e.g. rated safety chain or pin.</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A598D85"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6E9B4"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9075AF" w14:textId="77777777" w:rsidR="00F950C5" w:rsidRPr="006F2C09" w:rsidRDefault="00F950C5" w:rsidP="00F950C5">
            <w:pPr>
              <w:pStyle w:val="OKTable"/>
            </w:pPr>
          </w:p>
        </w:tc>
      </w:tr>
      <w:tr w:rsidR="00F950C5" w:rsidRPr="00243194" w14:paraId="64A1A175" w14:textId="77777777" w:rsidTr="00B1796B">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97A06" w14:textId="01D78F69" w:rsidR="00F950C5" w:rsidRPr="008E07D5" w:rsidRDefault="00F950C5" w:rsidP="00F950C5">
            <w:pPr>
              <w:pStyle w:val="OKTable"/>
              <w:rPr>
                <w:rFonts w:eastAsia="ヒラギノ角ゴ Pro W3"/>
              </w:rPr>
            </w:pPr>
            <w:r w:rsidRPr="00F56D5B">
              <w:rPr>
                <w:rFonts w:eastAsia="ヒラギノ角ゴ Pro W3"/>
              </w:rPr>
              <w:t>No personnel permitted under suspended loads.  Exclusion zones under and in the path of lifting operations must be controlled to prevent access by signage, barriers or spotters.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EB36E2"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A55BDD" w14:textId="77777777" w:rsidR="00F950C5" w:rsidRPr="006F2C09" w:rsidRDefault="00F950C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C1E601" w14:textId="77777777" w:rsidR="00F950C5" w:rsidRPr="006F2C09" w:rsidRDefault="00F950C5" w:rsidP="00F950C5">
            <w:pPr>
              <w:pStyle w:val="OKTable"/>
            </w:pPr>
          </w:p>
        </w:tc>
      </w:tr>
      <w:tr w:rsidR="00551005" w:rsidRPr="00243194" w14:paraId="635B0485" w14:textId="77777777" w:rsidTr="00B1796B">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ED60C" w14:textId="46C7DEF0" w:rsidR="00551005" w:rsidRPr="008E07D5" w:rsidRDefault="00551005" w:rsidP="00F950C5">
            <w:pPr>
              <w:pStyle w:val="OKTable"/>
              <w:rPr>
                <w:rFonts w:eastAsia="ヒラギノ角ゴ Pro W3"/>
              </w:rPr>
            </w:pPr>
            <w:r w:rsidRPr="00130BF1">
              <w:t xml:space="preserve">Procedure in place for inspection and reuse of FIBC's / </w:t>
            </w:r>
            <w:proofErr w:type="spellStart"/>
            <w:r w:rsidRPr="00130BF1">
              <w:t>bulkabag</w:t>
            </w:r>
            <w:proofErr w:type="spellEnd"/>
            <w:r w:rsidRPr="00130BF1">
              <w:t xml:space="preserve"> to ensure their integrity during lift.</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2465CC9"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623701"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4ECBE" w14:textId="77777777" w:rsidR="00551005" w:rsidRPr="006F2C09" w:rsidRDefault="00551005" w:rsidP="00F950C5">
            <w:pPr>
              <w:pStyle w:val="OKTable"/>
            </w:pPr>
          </w:p>
        </w:tc>
      </w:tr>
      <w:tr w:rsidR="00551005" w:rsidRPr="00243194" w14:paraId="6C2A950D" w14:textId="77777777" w:rsidTr="00551005">
        <w:trPr>
          <w:trHeight w:val="26"/>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8F283" w14:textId="7CC088A2" w:rsidR="00551005" w:rsidRPr="008E07D5" w:rsidRDefault="00551005" w:rsidP="00F950C5">
            <w:pPr>
              <w:pStyle w:val="OKTable"/>
              <w:rPr>
                <w:rFonts w:eastAsia="ヒラギノ角ゴ Pro W3"/>
              </w:rPr>
            </w:pPr>
            <w:r w:rsidRPr="00130BF1">
              <w:t>Forklift cabin fitted with roof protection where potential for falling objects exists.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76C7683"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B6125"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9AB551" w14:textId="77777777" w:rsidR="00551005" w:rsidRPr="006F2C09" w:rsidRDefault="00551005" w:rsidP="00F950C5">
            <w:pPr>
              <w:pStyle w:val="OKTable"/>
            </w:pPr>
          </w:p>
        </w:tc>
      </w:tr>
      <w:tr w:rsidR="00551005" w:rsidRPr="00243194" w14:paraId="47EEB84B" w14:textId="77777777" w:rsidTr="00E2082D">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C4B6A" w14:textId="01469AD4" w:rsidR="00551005" w:rsidRPr="008E07D5" w:rsidRDefault="00551005" w:rsidP="00F950C5">
            <w:pPr>
              <w:pStyle w:val="OKTable"/>
              <w:rPr>
                <w:rFonts w:eastAsia="ヒラギノ角ゴ Pro W3"/>
              </w:rPr>
            </w:pPr>
            <w:r w:rsidRPr="00F56D5B">
              <w:t>People required to operate forklifts are trained and assessed as competent to industry standard and licensed as required by local regulation.</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15607F0"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7B415B"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6F842" w14:textId="77777777" w:rsidR="00551005" w:rsidRPr="006F2C09" w:rsidRDefault="00551005" w:rsidP="00F950C5">
            <w:pPr>
              <w:pStyle w:val="OKTable"/>
            </w:pPr>
          </w:p>
        </w:tc>
      </w:tr>
      <w:tr w:rsidR="00551005" w:rsidRPr="00243194" w14:paraId="2C8299F3" w14:textId="77777777" w:rsidTr="00E2082D">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0BDE4" w14:textId="0CAE60C1" w:rsidR="00551005" w:rsidRPr="001E1A7A" w:rsidRDefault="00551005" w:rsidP="00F950C5">
            <w:pPr>
              <w:pStyle w:val="OKTable"/>
              <w:rPr>
                <w:rFonts w:eastAsia="ヒラギノ角ゴ Pro W3"/>
              </w:rPr>
            </w:pPr>
            <w:r w:rsidRPr="00F56D5B">
              <w:t>Only approved forklift attachments used.  Attachments must be designed for the task. Attachments must have rated capacities.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D41A880"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E9F3B8"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379CAD" w14:textId="77777777" w:rsidR="00551005" w:rsidRPr="006F2C09" w:rsidRDefault="00551005" w:rsidP="00F950C5">
            <w:pPr>
              <w:pStyle w:val="OKTable"/>
            </w:pPr>
          </w:p>
        </w:tc>
      </w:tr>
      <w:tr w:rsidR="00551005" w:rsidRPr="00243194" w14:paraId="7DBC4386" w14:textId="77777777" w:rsidTr="00551005">
        <w:trPr>
          <w:trHeight w:val="26"/>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B2C49" w14:textId="18C28643" w:rsidR="00551005" w:rsidRPr="001E1A7A" w:rsidRDefault="00551005" w:rsidP="00F950C5">
            <w:pPr>
              <w:pStyle w:val="OKTable"/>
              <w:rPr>
                <w:rFonts w:eastAsia="ヒラギノ角ゴ Pro W3"/>
              </w:rPr>
            </w:pPr>
            <w:r w:rsidRPr="00F56D5B">
              <w:t xml:space="preserve">Drum clamping / holding device on drum handling attachments fitted with a secondary means of securing the drum to the attachment e.g. clamp with safety pin.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0ECF47"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299B4"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3F7019" w14:textId="77777777" w:rsidR="00551005" w:rsidRPr="006F2C09" w:rsidRDefault="00551005" w:rsidP="00F950C5">
            <w:pPr>
              <w:pStyle w:val="OKTable"/>
            </w:pPr>
          </w:p>
        </w:tc>
      </w:tr>
      <w:tr w:rsidR="00551005" w:rsidRPr="00243194" w14:paraId="3DCBE79A" w14:textId="77777777" w:rsidTr="00551005">
        <w:trPr>
          <w:trHeight w:val="26"/>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696A2" w14:textId="79A57584" w:rsidR="00551005" w:rsidRPr="001E1A7A" w:rsidRDefault="00551005" w:rsidP="00F950C5">
            <w:pPr>
              <w:pStyle w:val="OKTable"/>
              <w:rPr>
                <w:rFonts w:eastAsia="ヒラギノ角ゴ Pro W3"/>
              </w:rPr>
            </w:pPr>
            <w:r w:rsidRPr="00F56D5B">
              <w:t>Forklifts are only operated by personnel who have been trained and assessed as competent to industry standard and licensed (registered) as required by regulation and have documented authorisation to operate the specific type of forklift and any attachments on-site.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7D8AE9"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46E01D" w14:textId="77777777" w:rsidR="00551005" w:rsidRPr="006F2C09" w:rsidRDefault="00551005" w:rsidP="00F950C5">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109FB6" w14:textId="77777777" w:rsidR="00551005" w:rsidRPr="006F2C09" w:rsidRDefault="00551005" w:rsidP="00F950C5">
            <w:pPr>
              <w:pStyle w:val="OKTable"/>
            </w:pPr>
          </w:p>
        </w:tc>
      </w:tr>
    </w:tbl>
    <w:p w14:paraId="0C2FF6CF" w14:textId="5E574785" w:rsidR="005847D2" w:rsidRPr="005847D2" w:rsidRDefault="005847D2" w:rsidP="005847D2">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F950C5"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12484D9F" w:rsidR="00F950C5" w:rsidRPr="003A7D2D" w:rsidRDefault="00F950C5" w:rsidP="00F950C5">
            <w:pPr>
              <w:pStyle w:val="OKTable"/>
              <w:rPr>
                <w:rFonts w:eastAsia="ヒラギノ角ゴ Pro W3"/>
              </w:rPr>
            </w:pPr>
            <w:r w:rsidRPr="00F56D5B">
              <w:rPr>
                <w:rFonts w:eastAsia="ヒラギノ角ゴ Pro W3"/>
              </w:rPr>
              <w:t>Post legible</w:t>
            </w:r>
            <w:r w:rsidR="00551005">
              <w:rPr>
                <w:rFonts w:eastAsia="ヒラギノ角ゴ Pro W3"/>
              </w:rPr>
              <w:t xml:space="preserve"> </w:t>
            </w:r>
            <w:r w:rsidRPr="00F56D5B">
              <w:rPr>
                <w:rFonts w:eastAsia="ヒラギノ角ゴ Pro W3"/>
              </w:rPr>
              <w:t>/ reada</w:t>
            </w:r>
            <w:r>
              <w:rPr>
                <w:rFonts w:eastAsia="ヒラギノ角ゴ Pro W3"/>
              </w:rPr>
              <w:t>ble load rating charts</w:t>
            </w:r>
            <w:r w:rsidR="00551005">
              <w:rPr>
                <w:rFonts w:eastAsia="ヒラギノ角ゴ Pro W3"/>
              </w:rPr>
              <w:t xml:space="preserve"> </w:t>
            </w:r>
            <w:r>
              <w:rPr>
                <w:rFonts w:eastAsia="ヒラギノ角ゴ Pro W3"/>
              </w:rPr>
              <w:t xml:space="preserve">/ plates </w:t>
            </w:r>
            <w:r w:rsidRPr="00F56D5B">
              <w:rPr>
                <w:rFonts w:eastAsia="ヒラギノ角ゴ Pro W3"/>
              </w:rPr>
              <w:t>(inc</w:t>
            </w:r>
            <w:r>
              <w:rPr>
                <w:rFonts w:eastAsia="ヒラギノ角ゴ Pro W3"/>
              </w:rPr>
              <w:t>luding for any attachments used</w:t>
            </w:r>
            <w:r w:rsidRPr="00F56D5B">
              <w:rPr>
                <w:rFonts w:eastAsia="ヒラギノ角ゴ Pro W3"/>
              </w:rPr>
              <w:t>) in cab of forklift.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F950C5" w:rsidRPr="00B31598" w:rsidRDefault="00F950C5" w:rsidP="00F950C5">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F950C5" w:rsidRPr="00B31598" w:rsidRDefault="00F950C5" w:rsidP="00F950C5">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F950C5" w:rsidRPr="00B31598" w:rsidRDefault="00F950C5" w:rsidP="00F950C5">
            <w:pPr>
              <w:pStyle w:val="OKTable"/>
            </w:pPr>
          </w:p>
        </w:tc>
      </w:tr>
      <w:tr w:rsidR="00F950C5"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5682C895" w:rsidR="00F950C5" w:rsidRPr="00A0501D" w:rsidRDefault="00F950C5" w:rsidP="00F950C5">
            <w:pPr>
              <w:pStyle w:val="OKTable"/>
              <w:rPr>
                <w:rFonts w:eastAsia="ヒラギノ角ゴ Pro W3"/>
              </w:rPr>
            </w:pPr>
            <w:r w:rsidRPr="00F56D5B">
              <w:rPr>
                <w:rFonts w:eastAsia="ヒラギノ角ゴ Pro W3"/>
              </w:rPr>
              <w:t>Provide secondary restraints to secure forklift attachments to forks and to secure drum holding / clamping devices on drum lifting attachments.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F950C5" w:rsidRPr="00B31598" w:rsidRDefault="00F950C5" w:rsidP="00F950C5">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F950C5" w:rsidRPr="00B31598" w:rsidRDefault="00F950C5" w:rsidP="00F950C5">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F950C5" w:rsidRPr="00B31598" w:rsidRDefault="00F950C5" w:rsidP="00F950C5">
            <w:pPr>
              <w:pStyle w:val="OKTable"/>
            </w:pPr>
          </w:p>
        </w:tc>
      </w:tr>
      <w:tr w:rsidR="00F950C5" w:rsidRPr="006F2C09" w14:paraId="222B1566" w14:textId="77777777" w:rsidTr="00AA0FF7">
        <w:trPr>
          <w:trHeight w:val="536"/>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3C2C6" w14:textId="7255F18A" w:rsidR="00F950C5" w:rsidRPr="001E1A7A" w:rsidRDefault="00F950C5" w:rsidP="00F950C5">
            <w:pPr>
              <w:pStyle w:val="OKTable"/>
              <w:rPr>
                <w:rFonts w:eastAsia="ヒラギノ角ゴ Pro W3"/>
              </w:rPr>
            </w:pPr>
            <w:r w:rsidRPr="00F56D5B">
              <w:rPr>
                <w:rFonts w:eastAsia="ヒラギノ角ゴ Pro W3"/>
              </w:rPr>
              <w:t>Verify people required to operate forklifts are trained and assessed as competent to industry standard and licensed as required by local regulation.</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03E34C" w14:textId="77777777" w:rsidR="00F950C5" w:rsidRPr="00B31598" w:rsidRDefault="00F950C5" w:rsidP="00F950C5">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33AB63" w14:textId="77777777" w:rsidR="00F950C5" w:rsidRPr="00B31598" w:rsidRDefault="00F950C5" w:rsidP="00F950C5">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42A11A" w14:textId="77777777" w:rsidR="00F950C5" w:rsidRPr="00B31598" w:rsidRDefault="00F950C5" w:rsidP="00F950C5">
            <w:pPr>
              <w:pStyle w:val="OKTable"/>
            </w:pPr>
          </w:p>
        </w:tc>
      </w:tr>
    </w:tbl>
    <w:p w14:paraId="152FF13C" w14:textId="77777777" w:rsidR="00551005" w:rsidRDefault="00551005" w:rsidP="00AA0FF7">
      <w:pPr>
        <w:pStyle w:val="Heading1"/>
      </w:pPr>
    </w:p>
    <w:p w14:paraId="0433EE0D" w14:textId="77777777" w:rsidR="00551005" w:rsidRDefault="0055100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ajorEastAsia" w:hAnsi="Arial" w:cstheme="majorBidi"/>
          <w:b/>
          <w:color w:val="2F5496" w:themeColor="accent1" w:themeShade="BF"/>
          <w:sz w:val="28"/>
          <w:szCs w:val="32"/>
        </w:rPr>
      </w:pPr>
      <w:r>
        <w:br w:type="page"/>
      </w:r>
    </w:p>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551005" w14:paraId="4BB24767" w14:textId="77777777" w:rsidTr="00FE5FAD">
        <w:trPr>
          <w:trHeight w:val="951"/>
        </w:trPr>
        <w:tc>
          <w:tcPr>
            <w:tcW w:w="7797" w:type="dxa"/>
            <w:vAlign w:val="bottom"/>
          </w:tcPr>
          <w:p w14:paraId="07B01565" w14:textId="77777777" w:rsidR="00551005" w:rsidRPr="008E1872" w:rsidRDefault="00551005" w:rsidP="00FE5FAD">
            <w:pPr>
              <w:pStyle w:val="OKHeading"/>
            </w:pPr>
            <w:r w:rsidRPr="00372272">
              <w:lastRenderedPageBreak/>
              <w:t>Preventing Loads Falling from Forklifts</w:t>
            </w:r>
          </w:p>
        </w:tc>
        <w:tc>
          <w:tcPr>
            <w:tcW w:w="2589" w:type="dxa"/>
            <w:vAlign w:val="bottom"/>
          </w:tcPr>
          <w:p w14:paraId="0931846F" w14:textId="77777777" w:rsidR="00551005" w:rsidRDefault="00551005" w:rsidP="00FE5FAD">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eastAsia="en-AU"/>
              </w:rPr>
              <w:drawing>
                <wp:inline distT="0" distB="0" distL="0" distR="0" wp14:anchorId="116A1349" wp14:editId="2D729B55">
                  <wp:extent cx="1430020" cy="504825"/>
                  <wp:effectExtent l="0" t="0" r="0" b="9525"/>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66BAAC4C" w14:textId="6B4654E6" w:rsidR="00AA0FF7" w:rsidRDefault="00AA0FF7" w:rsidP="00AA0FF7">
      <w:pPr>
        <w:pStyle w:val="Heading1"/>
      </w:pPr>
      <w:r w:rsidRPr="00805B8E">
        <w:t>Operator</w:t>
      </w:r>
      <w:r>
        <w:t xml:space="preserve"> </w:t>
      </w:r>
      <w:r w:rsidRPr="00805B8E">
        <w:t>/</w:t>
      </w:r>
      <w:r>
        <w:t xml:space="preserve"> </w:t>
      </w:r>
      <w:r w:rsidRPr="00805B8E">
        <w:t>Maintainer</w:t>
      </w:r>
      <w:r>
        <w:t xml:space="preserve"> Requirements</w:t>
      </w:r>
    </w:p>
    <w:p w14:paraId="41E0C38C" w14:textId="77777777" w:rsidR="00AA0FF7" w:rsidRPr="00AA0FF7" w:rsidRDefault="00AA0FF7" w:rsidP="00AA0FF7"/>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AA0FF7"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4808D109" w:rsidR="00AA0FF7" w:rsidRPr="005E4BC9" w:rsidRDefault="00AA0FF7" w:rsidP="00AA0FF7">
            <w:pPr>
              <w:pStyle w:val="OKTable"/>
            </w:pPr>
            <w:r w:rsidRPr="00F56D5B">
              <w:rPr>
                <w:rFonts w:eastAsia="ヒラギノ角ゴ Pro W3"/>
              </w:rPr>
              <w:t>Conduct pre-lift load inspection. Do not lift unstable or unsecure loads without stabilising or securing them.</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AA0FF7" w:rsidRPr="00B31598" w:rsidRDefault="00AA0FF7" w:rsidP="00AA0FF7">
            <w:pPr>
              <w:pStyle w:val="OKTable"/>
            </w:pPr>
          </w:p>
        </w:tc>
      </w:tr>
      <w:tr w:rsidR="00AA0FF7" w:rsidRPr="00AE5E19" w14:paraId="6B2704D1" w14:textId="77777777" w:rsidTr="00AA0FF7">
        <w:trPr>
          <w:trHeight w:val="50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0CD36F07" w:rsidR="00AA0FF7" w:rsidRPr="00A0501D" w:rsidRDefault="00AA0FF7" w:rsidP="00AA0FF7">
            <w:pPr>
              <w:pStyle w:val="OKTable"/>
              <w:rPr>
                <w:rFonts w:eastAsia="ヒラギノ角ゴ Pro W3"/>
              </w:rPr>
            </w:pPr>
            <w:r w:rsidRPr="00F56D5B">
              <w:rPr>
                <w:rFonts w:eastAsia="ヒラギノ角ゴ Pro W3"/>
              </w:rPr>
              <w:t>Check weight to be lifted against load rating chart/ plates for forklift and/ or attachments before lifting. Only operate equipment within limits of load rating chart.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AA0FF7" w:rsidRPr="00B31598" w:rsidRDefault="00AA0FF7" w:rsidP="00AA0FF7">
            <w:pPr>
              <w:pStyle w:val="OKTable"/>
            </w:pPr>
          </w:p>
        </w:tc>
      </w:tr>
      <w:tr w:rsidR="00AA0FF7" w:rsidRPr="00AE5E19" w14:paraId="2F9E0F5B" w14:textId="77777777" w:rsidTr="00AA0FF7">
        <w:trPr>
          <w:trHeight w:val="68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0B7F8" w14:textId="73BE2CCA" w:rsidR="00AA0FF7" w:rsidRPr="00B02A24" w:rsidRDefault="00AA0FF7" w:rsidP="00AA0FF7">
            <w:pPr>
              <w:pStyle w:val="OKTable"/>
              <w:rPr>
                <w:rFonts w:eastAsia="ヒラギノ角ゴ Pro W3"/>
              </w:rPr>
            </w:pPr>
            <w:r w:rsidRPr="00F56D5B">
              <w:rPr>
                <w:rFonts w:eastAsia="ヒラギノ角ゴ Pro W3"/>
              </w:rPr>
              <w:t>Use forklift and any lifting attachments fitted only if you have been trained, licensed (registered) in accordance with any applicable local regulations and have documented authorisation to operate the specific type of forklift and any attachments. Do not operate equipment if not trained.</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DE55F3"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0F3D"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6754" w14:textId="77777777" w:rsidR="00AA0FF7" w:rsidRPr="00B31598" w:rsidRDefault="00AA0FF7" w:rsidP="00AA0FF7">
            <w:pPr>
              <w:pStyle w:val="OKTable"/>
            </w:pPr>
          </w:p>
        </w:tc>
      </w:tr>
      <w:tr w:rsidR="00AA0FF7" w:rsidRPr="00AE5E19" w14:paraId="3C7ECE42"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5D03F" w14:textId="61C93BF7" w:rsidR="00AA0FF7" w:rsidRPr="001E1A7A" w:rsidRDefault="00AA0FF7" w:rsidP="00AA0FF7">
            <w:pPr>
              <w:pStyle w:val="OKTable"/>
              <w:rPr>
                <w:rFonts w:eastAsia="ヒラギノ角ゴ Pro W3"/>
              </w:rPr>
            </w:pPr>
            <w:r w:rsidRPr="00F56D5B">
              <w:rPr>
                <w:rFonts w:eastAsia="ヒラギノ角ゴ Pro W3"/>
              </w:rPr>
              <w:t>Inspect condition of forklift attachments before use and report any defects.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5307C3"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5D810E"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2CDF4A" w14:textId="77777777" w:rsidR="00AA0FF7" w:rsidRPr="00B31598" w:rsidRDefault="00AA0FF7" w:rsidP="00AA0FF7">
            <w:pPr>
              <w:pStyle w:val="OKTable"/>
            </w:pPr>
          </w:p>
        </w:tc>
      </w:tr>
      <w:tr w:rsidR="00AA0FF7" w:rsidRPr="00AE5E19" w14:paraId="0438D04E"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0DE91" w14:textId="254486CA" w:rsidR="00551005" w:rsidRDefault="00AA0FF7" w:rsidP="00551005">
            <w:pPr>
              <w:pStyle w:val="OKTable"/>
              <w:rPr>
                <w:rFonts w:eastAsia="ヒラギノ角ゴ Pro W3"/>
              </w:rPr>
            </w:pPr>
            <w:r w:rsidRPr="00F56D5B">
              <w:rPr>
                <w:rFonts w:eastAsia="ヒラギノ角ゴ Pro W3"/>
              </w:rPr>
              <w:t>Use only attachments designed for the forklift</w:t>
            </w:r>
            <w:r w:rsidR="00551005">
              <w:rPr>
                <w:rFonts w:eastAsia="ヒラギノ角ゴ Pro W3"/>
              </w:rPr>
              <w:t xml:space="preserve"> and included on the forklift load rating plate. </w:t>
            </w:r>
          </w:p>
          <w:p w14:paraId="52E2C60E" w14:textId="72874C6B" w:rsidR="00AA0FF7" w:rsidRPr="001E1A7A" w:rsidRDefault="00551005" w:rsidP="00551005">
            <w:pPr>
              <w:pStyle w:val="OKTable"/>
              <w:rPr>
                <w:rFonts w:eastAsia="ヒラギノ角ゴ Pro W3"/>
              </w:rPr>
            </w:pPr>
            <w:r>
              <w:rPr>
                <w:rFonts w:eastAsia="ヒラギノ角ゴ Pro W3"/>
              </w:rPr>
              <w:t>Use attachments only for their intended purpose.</w:t>
            </w:r>
            <w:r w:rsidR="00AA0FF7" w:rsidRPr="00F56D5B">
              <w:rPr>
                <w:rFonts w:eastAsia="ヒラギノ角ゴ Pro W3"/>
              </w:rPr>
              <w:t xml:space="preserve"> </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0D4D815"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728507"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6650DC" w14:textId="77777777" w:rsidR="00AA0FF7" w:rsidRPr="00B31598" w:rsidRDefault="00AA0FF7" w:rsidP="00AA0FF7">
            <w:pPr>
              <w:pStyle w:val="OKTable"/>
            </w:pPr>
          </w:p>
        </w:tc>
      </w:tr>
      <w:tr w:rsidR="00AA0FF7" w:rsidRPr="00AE5E19" w14:paraId="51871DFD"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74555" w14:textId="408DC3D9" w:rsidR="00AA0FF7" w:rsidRPr="001E1A7A" w:rsidRDefault="00AA0FF7" w:rsidP="00AA0FF7">
            <w:pPr>
              <w:pStyle w:val="OKTable"/>
              <w:rPr>
                <w:rFonts w:eastAsia="ヒラギノ角ゴ Pro W3"/>
              </w:rPr>
            </w:pPr>
            <w:r w:rsidRPr="00F56D5B">
              <w:rPr>
                <w:rFonts w:eastAsia="ヒラギノ角ゴ Pro W3"/>
              </w:rPr>
              <w:t xml:space="preserve">Secure the attachment correctly on the forklift. Use secondary restraints on forklift attachments where fitted to either secure the attachment to the forks and/ or to secure the load to the attachment.  </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53BA04C"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817C53"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8B213F" w14:textId="77777777" w:rsidR="00AA0FF7" w:rsidRPr="00B31598" w:rsidRDefault="00AA0FF7" w:rsidP="00AA0FF7">
            <w:pPr>
              <w:pStyle w:val="OKTable"/>
            </w:pPr>
          </w:p>
        </w:tc>
      </w:tr>
      <w:tr w:rsidR="00AA0FF7" w:rsidRPr="00AE5E19" w14:paraId="71633EED"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E5057" w14:textId="5903ABFF" w:rsidR="00AA0FF7" w:rsidRPr="001E1A7A" w:rsidRDefault="00551005" w:rsidP="00AA0FF7">
            <w:pPr>
              <w:pStyle w:val="OKTable"/>
              <w:rPr>
                <w:rFonts w:eastAsia="ヒラギノ角ゴ Pro W3"/>
              </w:rPr>
            </w:pPr>
            <w:r>
              <w:rPr>
                <w:rFonts w:eastAsia="ヒラギノ角ゴ Pro W3"/>
              </w:rPr>
              <w:t>Do not</w:t>
            </w:r>
            <w:r w:rsidR="00AA0FF7" w:rsidRPr="00F56D5B">
              <w:rPr>
                <w:rFonts w:eastAsia="ヒラギノ角ゴ Pro W3"/>
              </w:rPr>
              <w:t xml:space="preserve"> sling loads directly from tines e.g</w:t>
            </w:r>
            <w:r>
              <w:rPr>
                <w:rFonts w:eastAsia="ヒラギノ角ゴ Pro W3"/>
              </w:rPr>
              <w:t>.</w:t>
            </w:r>
            <w:r w:rsidR="00AA0FF7" w:rsidRPr="00F56D5B">
              <w:rPr>
                <w:rFonts w:eastAsia="ヒラギノ角ゴ Pro W3"/>
              </w:rPr>
              <w:t xml:space="preserve"> bulk bag loops, as there may be a risk of the load sliding off the tines. Always use a </w:t>
            </w:r>
            <w:proofErr w:type="spellStart"/>
            <w:r w:rsidR="00AA0FF7" w:rsidRPr="00F56D5B">
              <w:rPr>
                <w:rFonts w:eastAsia="ヒラギノ角ゴ Pro W3"/>
              </w:rPr>
              <w:t>jib</w:t>
            </w:r>
            <w:proofErr w:type="spellEnd"/>
            <w:r w:rsidR="00AA0FF7" w:rsidRPr="00F56D5B">
              <w:rPr>
                <w:rFonts w:eastAsia="ヒラギノ角ゴ Pro W3"/>
              </w:rPr>
              <w:t xml:space="preserve"> or rhino horn.</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ECCAD6" w14:textId="77777777" w:rsidR="00AA0FF7" w:rsidRPr="00B31598" w:rsidRDefault="00AA0FF7" w:rsidP="00AA0FF7">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E342E" w14:textId="77777777" w:rsidR="00AA0FF7" w:rsidRPr="00B31598" w:rsidRDefault="00AA0FF7" w:rsidP="00AA0FF7">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94AAA4" w14:textId="77777777" w:rsidR="00AA0FF7" w:rsidRPr="00B31598" w:rsidRDefault="00AA0FF7" w:rsidP="00AA0FF7">
            <w:pPr>
              <w:pStyle w:val="OKTable"/>
            </w:pPr>
          </w:p>
        </w:tc>
      </w:tr>
    </w:tbl>
    <w:p w14:paraId="724CCE1C" w14:textId="49E2C110"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192398D" w14:textId="1333EB9E" w:rsidR="005E4BC9" w:rsidRPr="00831C0E" w:rsidRDefault="0031243F" w:rsidP="00831C0E">
      <w:pPr>
        <w:pStyle w:val="OKComments"/>
      </w:pPr>
      <w:r w:rsidRPr="001C15EA">
        <w:tab/>
      </w:r>
    </w:p>
    <w:sectPr w:rsidR="005E4BC9" w:rsidRPr="00831C0E" w:rsidSect="005014A6">
      <w:footerReference w:type="default" r:id="rId12"/>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43FA" w14:textId="77777777" w:rsidR="00BE71F0" w:rsidRDefault="00BE71F0" w:rsidP="006F2C09">
      <w:r>
        <w:separator/>
      </w:r>
    </w:p>
  </w:endnote>
  <w:endnote w:type="continuationSeparator" w:id="0">
    <w:p w14:paraId="3F41B51E" w14:textId="77777777" w:rsidR="00BE71F0" w:rsidRDefault="00BE71F0"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9979" w14:textId="77777777" w:rsidR="00BE71F0" w:rsidRDefault="00BE71F0" w:rsidP="006F2C09">
      <w:r>
        <w:separator/>
      </w:r>
    </w:p>
  </w:footnote>
  <w:footnote w:type="continuationSeparator" w:id="0">
    <w:p w14:paraId="6CF1526A" w14:textId="77777777" w:rsidR="00BE71F0" w:rsidRDefault="00BE71F0"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0C2AD0"/>
    <w:rsid w:val="001043BB"/>
    <w:rsid w:val="00111011"/>
    <w:rsid w:val="00137361"/>
    <w:rsid w:val="00172D90"/>
    <w:rsid w:val="0019355D"/>
    <w:rsid w:val="001C15EA"/>
    <w:rsid w:val="00245BC1"/>
    <w:rsid w:val="00252FF5"/>
    <w:rsid w:val="0028589C"/>
    <w:rsid w:val="0031243F"/>
    <w:rsid w:val="00372272"/>
    <w:rsid w:val="003727F9"/>
    <w:rsid w:val="003A7D2D"/>
    <w:rsid w:val="0041764C"/>
    <w:rsid w:val="00483F4B"/>
    <w:rsid w:val="004B3F46"/>
    <w:rsid w:val="005014A6"/>
    <w:rsid w:val="00551005"/>
    <w:rsid w:val="005607EF"/>
    <w:rsid w:val="005847D2"/>
    <w:rsid w:val="00591B1B"/>
    <w:rsid w:val="005D7BEF"/>
    <w:rsid w:val="005E4BC9"/>
    <w:rsid w:val="005E4CE3"/>
    <w:rsid w:val="0060152D"/>
    <w:rsid w:val="006343FA"/>
    <w:rsid w:val="0065624A"/>
    <w:rsid w:val="006F2C09"/>
    <w:rsid w:val="00780FB1"/>
    <w:rsid w:val="00831C0E"/>
    <w:rsid w:val="008844F3"/>
    <w:rsid w:val="008E1872"/>
    <w:rsid w:val="008F502F"/>
    <w:rsid w:val="00910188"/>
    <w:rsid w:val="00966FD5"/>
    <w:rsid w:val="009A686E"/>
    <w:rsid w:val="00A04049"/>
    <w:rsid w:val="00AA0FF7"/>
    <w:rsid w:val="00AD0017"/>
    <w:rsid w:val="00B00310"/>
    <w:rsid w:val="00B31598"/>
    <w:rsid w:val="00B33714"/>
    <w:rsid w:val="00BE71F0"/>
    <w:rsid w:val="00BF6E4E"/>
    <w:rsid w:val="00C54628"/>
    <w:rsid w:val="00C82BF9"/>
    <w:rsid w:val="00CB16CE"/>
    <w:rsid w:val="00CD4FB6"/>
    <w:rsid w:val="00D8181E"/>
    <w:rsid w:val="00E87982"/>
    <w:rsid w:val="00F340AC"/>
    <w:rsid w:val="00F40AAF"/>
    <w:rsid w:val="00F950C5"/>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4E19-0548-4217-A56E-6BC25527A179}">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5613C6F5-2ED1-407E-A7FD-F8A8C5802FD3}">
  <ds:schemaRefs>
    <ds:schemaRef ds:uri="http://schemas.microsoft.com/sharepoint/v3/contenttype/forms"/>
  </ds:schemaRefs>
</ds:datastoreItem>
</file>

<file path=customXml/itemProps3.xml><?xml version="1.0" encoding="utf-8"?>
<ds:datastoreItem xmlns:ds="http://schemas.openxmlformats.org/officeDocument/2006/customXml" ds:itemID="{A30E6528-90DF-4BFB-8C8A-95836062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2E12AB-BA56-47C1-97B5-7084A9EA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Sabuin, Lin LS</cp:lastModifiedBy>
  <cp:revision>2</cp:revision>
  <dcterms:created xsi:type="dcterms:W3CDTF">2020-04-14T03:13:00Z</dcterms:created>
  <dcterms:modified xsi:type="dcterms:W3CDTF">2020-04-14T03:13:00Z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