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41B51F62" w:rsidR="006F2C09" w:rsidRPr="008E1872" w:rsidRDefault="00701D55" w:rsidP="00C82D5F">
            <w:pPr>
              <w:pStyle w:val="OKHeading"/>
            </w:pPr>
            <w:bookmarkStart w:id="0" w:name="_GoBack"/>
            <w:bookmarkEnd w:id="0"/>
            <w:r>
              <w:t xml:space="preserve">Preventing </w:t>
            </w:r>
            <w:r w:rsidR="005D13C7">
              <w:t xml:space="preserve">Operator Being Struck </w:t>
            </w:r>
            <w:r w:rsidR="00C82D5F">
              <w:t>During Shipping Container Handling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26F170D9" w:rsidR="00073B41" w:rsidRPr="005E4BC9" w:rsidRDefault="00C82D5F" w:rsidP="00073B41">
            <w:pPr>
              <w:pStyle w:val="OKTable"/>
            </w:pPr>
            <w:r w:rsidRPr="004B1034">
              <w:rPr>
                <w:rFonts w:eastAsia="ヒラギノ角ゴ Pro W3"/>
              </w:rPr>
              <w:t>No-one enter</w:t>
            </w:r>
            <w:r>
              <w:rPr>
                <w:rFonts w:eastAsia="ヒラギノ角ゴ Pro W3"/>
              </w:rPr>
              <w:t>s</w:t>
            </w:r>
            <w:r w:rsidRPr="004B1034">
              <w:rPr>
                <w:rFonts w:eastAsia="ヒラギノ角ゴ Pro W3"/>
              </w:rPr>
              <w:t xml:space="preserve"> the exclusion zone</w:t>
            </w:r>
            <w:r>
              <w:rPr>
                <w:rFonts w:eastAsia="ヒラギノ角ゴ Pro W3"/>
              </w:rPr>
              <w:t xml:space="preserve"> </w:t>
            </w:r>
            <w:r w:rsidRPr="004B1034">
              <w:rPr>
                <w:rFonts w:eastAsia="ヒラギノ角ゴ Pro W3"/>
              </w:rPr>
              <w:t xml:space="preserve">without the </w:t>
            </w:r>
            <w:r>
              <w:rPr>
                <w:rFonts w:eastAsia="ヒラギノ角ゴ Pro W3"/>
              </w:rPr>
              <w:t xml:space="preserve">container handling equipment </w:t>
            </w:r>
            <w:r w:rsidRPr="004B1034">
              <w:rPr>
                <w:rFonts w:eastAsia="ヒラギノ角ゴ Pro W3"/>
              </w:rPr>
              <w:t>operator’s approval</w:t>
            </w:r>
            <w:r>
              <w:rPr>
                <w:rFonts w:eastAsia="ヒラギノ角ゴ Pro W3"/>
              </w:rPr>
              <w:t xml:space="preserve">. </w:t>
            </w:r>
            <w:r>
              <w:t xml:space="preserve"> </w:t>
            </w:r>
            <w:r w:rsidRPr="006A6920">
              <w:rPr>
                <w:rFonts w:eastAsia="ヒラギノ角ゴ Pro W3"/>
              </w:rPr>
              <w:t>Authority for the area in which the load</w:t>
            </w:r>
            <w:r>
              <w:rPr>
                <w:rFonts w:eastAsia="ヒラギノ角ゴ Pro W3"/>
              </w:rPr>
              <w:t>ing/unloading activity is occur</w:t>
            </w:r>
            <w:r w:rsidRPr="006A6920">
              <w:rPr>
                <w:rFonts w:eastAsia="ヒラギノ角ゴ Pro W3"/>
              </w:rPr>
              <w:t>ring resides with the container handling equipment operator.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05693DA8" w:rsidR="00073B41" w:rsidRPr="00C82D5F" w:rsidRDefault="00C82D5F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C82D5F">
              <w:rPr>
                <w:rFonts w:ascii="Arial" w:eastAsia="ヒラギノ角ゴ Pro W3" w:hAnsi="Arial" w:cs="Arial"/>
                <w:sz w:val="18"/>
                <w:szCs w:val="18"/>
              </w:rPr>
              <w:t>People required to operate container handling equipment are trained and assessed as competent to industry standard, licensed and listed in site register.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4C734085" w:rsidR="00416EBF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Container handling equipment </w:t>
            </w:r>
            <w:r w:rsidRPr="008025FB">
              <w:rPr>
                <w:rFonts w:eastAsia="ヒラギノ角ゴ Pro W3"/>
              </w:rPr>
              <w:t>is specified and authorised for use.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466E652D" w:rsidR="00416EB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 w:rsidRPr="00303677">
              <w:rPr>
                <w:rFonts w:eastAsia="ヒラギノ角ゴ Pro W3"/>
              </w:rPr>
              <w:t xml:space="preserve">When operating a </w:t>
            </w:r>
            <w:proofErr w:type="spellStart"/>
            <w:r w:rsidRPr="00303677">
              <w:rPr>
                <w:rFonts w:eastAsia="ヒラギノ角ゴ Pro W3"/>
              </w:rPr>
              <w:t>sideloader</w:t>
            </w:r>
            <w:proofErr w:type="spellEnd"/>
            <w:r w:rsidRPr="00303677">
              <w:rPr>
                <w:rFonts w:eastAsia="ヒラギノ角ゴ Pro W3"/>
              </w:rPr>
              <w:t xml:space="preserve"> a 3m pedestrian exclusion zone (excluding the </w:t>
            </w:r>
            <w:proofErr w:type="spellStart"/>
            <w:r w:rsidRPr="00303677">
              <w:rPr>
                <w:rFonts w:eastAsia="ヒラギノ角ゴ Pro W3"/>
              </w:rPr>
              <w:t>sidelifter</w:t>
            </w:r>
            <w:proofErr w:type="spellEnd"/>
            <w:r w:rsidRPr="00303677">
              <w:rPr>
                <w:rFonts w:eastAsia="ヒラギノ角ゴ Pro W3"/>
              </w:rPr>
              <w:t xml:space="preserve"> operator) in implemented around the operation when loading/ unloading the container onto/ off a trailer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C82D5F" w:rsidRPr="00243194" w14:paraId="4377560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266D" w14:textId="02C799EE" w:rsidR="00C82D5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</w:t>
            </w:r>
            <w:r w:rsidRPr="00EB36D4">
              <w:rPr>
                <w:rFonts w:eastAsia="ヒラギノ角ゴ Pro W3"/>
              </w:rPr>
              <w:t>ontainer handling equipment (</w:t>
            </w:r>
            <w:proofErr w:type="spellStart"/>
            <w:r w:rsidRPr="00EB36D4">
              <w:rPr>
                <w:rFonts w:eastAsia="ヒラギノ角ゴ Pro W3"/>
              </w:rPr>
              <w:t>incl</w:t>
            </w:r>
            <w:proofErr w:type="spellEnd"/>
            <w:r w:rsidRPr="00EB36D4">
              <w:rPr>
                <w:rFonts w:eastAsia="ヒラギノ角ゴ Pro W3"/>
              </w:rPr>
              <w:t>: top lift spreader)</w:t>
            </w:r>
            <w:r>
              <w:rPr>
                <w:rFonts w:eastAsia="ヒラギノ角ゴ Pro W3"/>
              </w:rPr>
              <w:t xml:space="preserve"> subject to planned maintenance and inspection program. </w:t>
            </w:r>
            <w:r w:rsidRPr="00EB36D4">
              <w:rPr>
                <w:rFonts w:eastAsia="ヒラギノ角ゴ Pro W3"/>
              </w:rPr>
              <w:t>Lifting sets inspected, examined and tested, by an inspection body in accordance with applicable standards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A70A8C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4C8CE1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C55C6C" w14:textId="77777777" w:rsidR="00C82D5F" w:rsidRPr="006F2C09" w:rsidRDefault="00C82D5F" w:rsidP="00073B41">
            <w:pPr>
              <w:pStyle w:val="OKTable"/>
            </w:pPr>
          </w:p>
        </w:tc>
      </w:tr>
      <w:tr w:rsidR="00C82D5F" w:rsidRPr="00243194" w14:paraId="08A7638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1854" w14:textId="6FDA6D10" w:rsidR="00C82D5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Container handling operations undertaken in </w:t>
            </w:r>
            <w:r w:rsidRPr="004C4FB3">
              <w:rPr>
                <w:rFonts w:eastAsia="ヒラギノ角ゴ Pro W3"/>
              </w:rPr>
              <w:t>locations as defined by the site Traffic Management Plan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ED2728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040A43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0A9949" w14:textId="77777777" w:rsidR="00C82D5F" w:rsidRPr="006F2C09" w:rsidRDefault="00C82D5F" w:rsidP="00073B41">
            <w:pPr>
              <w:pStyle w:val="OKTable"/>
            </w:pPr>
          </w:p>
        </w:tc>
      </w:tr>
      <w:tr w:rsidR="00C82D5F" w:rsidRPr="00243194" w14:paraId="3A7F3F39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6FF0" w14:textId="4DC0B6D2" w:rsidR="00C82D5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Container handling yards are pedestrian exclusion zones. </w:t>
            </w:r>
            <w:r w:rsidRPr="008025FB">
              <w:rPr>
                <w:rFonts w:eastAsia="ヒラギノ角ゴ Pro W3"/>
              </w:rPr>
              <w:t>Pedest</w:t>
            </w:r>
            <w:r>
              <w:rPr>
                <w:rFonts w:eastAsia="ヒラギノ角ゴ Pro W3"/>
              </w:rPr>
              <w:t xml:space="preserve">rians keep out of areas where container forklifts or carriers are </w:t>
            </w:r>
            <w:r w:rsidRPr="008025FB">
              <w:rPr>
                <w:rFonts w:eastAsia="ヒラギノ角ゴ Pro W3"/>
              </w:rPr>
              <w:t>operating</w:t>
            </w:r>
            <w:r>
              <w:rPr>
                <w:rFonts w:eastAsia="ヒラギノ角ゴ Pro W3"/>
              </w:rPr>
              <w:t xml:space="preserve">. </w:t>
            </w:r>
            <w:r>
              <w:t xml:space="preserve"> </w:t>
            </w:r>
            <w:r w:rsidRPr="004B1034">
              <w:rPr>
                <w:rFonts w:eastAsia="ヒラギノ角ゴ Pro W3"/>
              </w:rPr>
              <w:t>Excl</w:t>
            </w:r>
            <w:r>
              <w:rPr>
                <w:rFonts w:eastAsia="ヒラギノ角ゴ Pro W3"/>
              </w:rPr>
              <w:t xml:space="preserve">usion zone identified with </w:t>
            </w:r>
            <w:r w:rsidRPr="004B1034">
              <w:rPr>
                <w:rFonts w:eastAsia="ヒラギノ角ゴ Pro W3"/>
              </w:rPr>
              <w:t>barriers &amp;</w:t>
            </w:r>
            <w:r>
              <w:rPr>
                <w:rFonts w:eastAsia="ヒラギノ角ゴ Pro W3"/>
              </w:rPr>
              <w:t>/or</w:t>
            </w:r>
            <w:r w:rsidRPr="004B1034">
              <w:rPr>
                <w:rFonts w:eastAsia="ヒラギノ角ゴ Pro W3"/>
              </w:rPr>
              <w:t xml:space="preserve"> signage.</w:t>
            </w:r>
            <w:r>
              <w:rPr>
                <w:rFonts w:eastAsia="ヒラギノ角ゴ Pro W3"/>
              </w:rPr>
              <w:t xml:space="preserve"> 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8FC20E1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8637A6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11A1F7" w14:textId="77777777" w:rsidR="00C82D5F" w:rsidRPr="006F2C09" w:rsidRDefault="00C82D5F" w:rsidP="00073B41">
            <w:pPr>
              <w:pStyle w:val="OKTable"/>
            </w:pPr>
          </w:p>
        </w:tc>
      </w:tr>
      <w:tr w:rsidR="00C82D5F" w:rsidRPr="00243194" w14:paraId="4CBD01A4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8130" w14:textId="72646A71" w:rsidR="00C82D5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 w:rsidRPr="008025FB">
              <w:rPr>
                <w:rFonts w:eastAsia="ヒラギノ角ゴ Pro W3"/>
              </w:rPr>
              <w:t xml:space="preserve">No personnel permitted under suspended loads. Exclusion zones under and in the path of lifting operations </w:t>
            </w:r>
            <w:r>
              <w:rPr>
                <w:rFonts w:eastAsia="ヒラギノ角ゴ Pro W3"/>
              </w:rPr>
              <w:t xml:space="preserve">is </w:t>
            </w:r>
            <w:r w:rsidRPr="008025FB">
              <w:rPr>
                <w:rFonts w:eastAsia="ヒラギノ角ゴ Pro W3"/>
              </w:rPr>
              <w:t>controlled to prevent acce</w:t>
            </w:r>
            <w:r>
              <w:rPr>
                <w:rFonts w:eastAsia="ヒラギノ角ゴ Pro W3"/>
              </w:rPr>
              <w:t xml:space="preserve">ss e.g. by </w:t>
            </w:r>
            <w:r w:rsidRPr="008025FB">
              <w:rPr>
                <w:rFonts w:eastAsia="ヒラギノ角ゴ Pro W3"/>
              </w:rPr>
              <w:t>signage, barriers or spotters.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63F22B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C4E2C79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0CD10E" w14:textId="77777777" w:rsidR="00C82D5F" w:rsidRPr="006F2C09" w:rsidRDefault="00C82D5F" w:rsidP="00073B41">
            <w:pPr>
              <w:pStyle w:val="OKTable"/>
            </w:pPr>
          </w:p>
        </w:tc>
      </w:tr>
      <w:tr w:rsidR="00C82D5F" w:rsidRPr="00243194" w14:paraId="41F89700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C2AF" w14:textId="7F95A1E1" w:rsidR="00C82D5F" w:rsidRPr="007B6CCD" w:rsidRDefault="00C82D5F" w:rsidP="005D13C7">
            <w:pPr>
              <w:pStyle w:val="OKTable"/>
              <w:rPr>
                <w:rFonts w:eastAsia="ヒラギノ角ゴ Pro W3"/>
              </w:rPr>
            </w:pPr>
            <w:r w:rsidRPr="0091193D">
              <w:rPr>
                <w:rFonts w:eastAsia="ヒラギノ角ゴ Pro W3"/>
              </w:rPr>
              <w:t xml:space="preserve">For </w:t>
            </w:r>
            <w:proofErr w:type="spellStart"/>
            <w:r w:rsidRPr="0091193D">
              <w:rPr>
                <w:rFonts w:eastAsia="ヒラギノ角ゴ Pro W3"/>
              </w:rPr>
              <w:t>sideloaders</w:t>
            </w:r>
            <w:proofErr w:type="spellEnd"/>
            <w:r w:rsidRPr="0091193D">
              <w:rPr>
                <w:rFonts w:eastAsia="ヒラギノ角ゴ Pro W3"/>
              </w:rPr>
              <w:t xml:space="preserve"> loads </w:t>
            </w:r>
            <w:r>
              <w:rPr>
                <w:rFonts w:eastAsia="ヒラギノ角ゴ Pro W3"/>
              </w:rPr>
              <w:t xml:space="preserve">is </w:t>
            </w:r>
            <w:r w:rsidRPr="0091193D">
              <w:rPr>
                <w:rFonts w:eastAsia="ヒラギノ角ゴ Pro W3"/>
              </w:rPr>
              <w:t xml:space="preserve">strictly within the dimensions and weight capacity limits as detailed on the rating plate of the side loader and </w:t>
            </w:r>
            <w:r>
              <w:rPr>
                <w:rFonts w:eastAsia="ヒラギノ角ゴ Pro W3"/>
              </w:rPr>
              <w:t xml:space="preserve">is </w:t>
            </w:r>
            <w:r w:rsidRPr="0091193D">
              <w:rPr>
                <w:rFonts w:eastAsia="ヒラギノ角ゴ Pro W3"/>
              </w:rPr>
              <w:t>within the dimensional limits of the deck.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367ECD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6AB6666" w14:textId="77777777" w:rsidR="00C82D5F" w:rsidRPr="006F2C09" w:rsidRDefault="00C82D5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842E7F" w14:textId="77777777" w:rsidR="00C82D5F" w:rsidRPr="006F2C09" w:rsidRDefault="00C82D5F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6E95CE36" w:rsidR="00073B41" w:rsidRPr="003A7D2D" w:rsidRDefault="00C82D5F" w:rsidP="00073B41">
            <w:pPr>
              <w:pStyle w:val="OKTable"/>
              <w:rPr>
                <w:rFonts w:eastAsia="ヒラギノ角ゴ Pro W3"/>
              </w:rPr>
            </w:pPr>
            <w:r w:rsidRPr="00995117">
              <w:rPr>
                <w:rFonts w:eastAsia="ヒラギノ角ゴ Pro W3"/>
              </w:rPr>
              <w:t xml:space="preserve">Verify people required to operate equipment </w:t>
            </w:r>
            <w:r>
              <w:rPr>
                <w:rFonts w:eastAsia="ヒラギノ角ゴ Pro W3"/>
              </w:rPr>
              <w:t xml:space="preserve">handling shipping containers </w:t>
            </w:r>
            <w:r w:rsidRPr="00995117">
              <w:rPr>
                <w:rFonts w:eastAsia="ヒラギノ角ゴ Pro W3"/>
              </w:rPr>
              <w:t>are trained and assessed as competent to industry standard and licensed as required.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0A0D861A" w:rsidR="00073B41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Ensure container handling </w:t>
            </w:r>
            <w:r w:rsidRPr="008025FB">
              <w:rPr>
                <w:rFonts w:eastAsia="ヒラギノ角ゴ Pro W3"/>
              </w:rPr>
              <w:t xml:space="preserve">equipment and attachments </w:t>
            </w:r>
            <w:r>
              <w:rPr>
                <w:rFonts w:eastAsia="ヒラギノ角ゴ Pro W3"/>
              </w:rPr>
              <w:t>is</w:t>
            </w:r>
            <w:r w:rsidRPr="008025FB">
              <w:rPr>
                <w:rFonts w:eastAsia="ヒラギノ角ゴ Pro W3"/>
              </w:rPr>
              <w:t xml:space="preserve"> maintained as per manufacturer</w:t>
            </w:r>
            <w:r>
              <w:rPr>
                <w:rFonts w:eastAsia="ヒラギノ角ゴ Pro W3"/>
              </w:rPr>
              <w:t>’s</w:t>
            </w:r>
            <w:r w:rsidRPr="008025FB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>r</w:t>
            </w:r>
            <w:r w:rsidRPr="008025FB">
              <w:rPr>
                <w:rFonts w:eastAsia="ヒラギノ角ゴ Pro W3"/>
              </w:rPr>
              <w:t>ecommendation.</w:t>
            </w:r>
            <w:r>
              <w:t xml:space="preserve">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5D13C7" w:rsidRPr="006F2C09" w14:paraId="6B8477E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8E80" w14:textId="4BEE7F32" w:rsidR="005D13C7" w:rsidRPr="002A4B0E" w:rsidRDefault="00C82D5F" w:rsidP="00073B41">
            <w:pPr>
              <w:pStyle w:val="OKTable"/>
              <w:rPr>
                <w:rFonts w:ascii="Helv" w:hAnsi="Helv" w:cs="Helv"/>
                <w:lang w:eastAsia="en-AU"/>
              </w:rPr>
            </w:pPr>
            <w:r w:rsidRPr="004C4FB3">
              <w:rPr>
                <w:rFonts w:eastAsia="ヒラギノ角ゴ Pro W3"/>
              </w:rPr>
              <w:t>M</w:t>
            </w:r>
            <w:r>
              <w:rPr>
                <w:rFonts w:eastAsia="ヒラギノ角ゴ Pro W3"/>
              </w:rPr>
              <w:t>aintain a register of licensed container handling equipment</w:t>
            </w:r>
            <w:r w:rsidRPr="004C4FB3">
              <w:rPr>
                <w:rFonts w:eastAsia="ヒラギノ角ゴ Pro W3"/>
              </w:rPr>
              <w:t xml:space="preserve"> operators.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C7A8E8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A78F0C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76CC5" w14:textId="77777777" w:rsidR="005D13C7" w:rsidRPr="00B31598" w:rsidRDefault="005D13C7" w:rsidP="00073B41">
            <w:pPr>
              <w:pStyle w:val="OKTable"/>
            </w:pPr>
          </w:p>
        </w:tc>
      </w:tr>
      <w:tr w:rsidR="005D13C7" w:rsidRPr="006F2C09" w14:paraId="796FE2FF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1260" w14:textId="591F73C4" w:rsidR="005D13C7" w:rsidRPr="002A4B0E" w:rsidRDefault="00C82D5F" w:rsidP="00073B41">
            <w:pPr>
              <w:pStyle w:val="OKTable"/>
              <w:rPr>
                <w:rFonts w:ascii="Helv" w:hAnsi="Helv" w:cs="Helv"/>
                <w:lang w:eastAsia="en-AU"/>
              </w:rPr>
            </w:pPr>
            <w:r>
              <w:rPr>
                <w:rFonts w:eastAsia="ヒラギノ角ゴ Pro W3"/>
              </w:rPr>
              <w:t xml:space="preserve">Verify </w:t>
            </w:r>
            <w:r w:rsidRPr="004C4FB3">
              <w:rPr>
                <w:rFonts w:eastAsia="ヒラギノ角ゴ Pro W3"/>
              </w:rPr>
              <w:t>all personnel using a forklift</w:t>
            </w:r>
            <w:r>
              <w:rPr>
                <w:rFonts w:eastAsia="ヒラギノ角ゴ Pro W3"/>
              </w:rPr>
              <w:t xml:space="preserve">, </w:t>
            </w:r>
            <w:proofErr w:type="spellStart"/>
            <w:r>
              <w:rPr>
                <w:rFonts w:eastAsia="ヒラギノ角ゴ Pro W3"/>
              </w:rPr>
              <w:t>sideloader</w:t>
            </w:r>
            <w:proofErr w:type="spellEnd"/>
            <w:r>
              <w:rPr>
                <w:rFonts w:eastAsia="ヒラギノ角ゴ Pro W3"/>
              </w:rPr>
              <w:t xml:space="preserve"> or straddle carrier </w:t>
            </w:r>
            <w:r w:rsidRPr="004C4FB3">
              <w:rPr>
                <w:rFonts w:eastAsia="ヒラギノ角ゴ Pro W3"/>
              </w:rPr>
              <w:t>at the workplace hold relevant licences.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33BFF8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5877CA" w14:textId="77777777" w:rsidR="005D13C7" w:rsidRPr="00B31598" w:rsidRDefault="005D13C7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87365" w14:textId="77777777" w:rsidR="005D13C7" w:rsidRPr="00B31598" w:rsidRDefault="005D13C7" w:rsidP="00073B41">
            <w:pPr>
              <w:pStyle w:val="OKTable"/>
            </w:pPr>
          </w:p>
        </w:tc>
      </w:tr>
      <w:tr w:rsidR="00C82D5F" w:rsidRPr="006F2C09" w14:paraId="12E7A267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F6AA" w14:textId="55944E06" w:rsidR="00C82D5F" w:rsidRPr="002A4B0E" w:rsidRDefault="00C82D5F" w:rsidP="00073B41">
            <w:pPr>
              <w:pStyle w:val="OKTable"/>
              <w:rPr>
                <w:rFonts w:ascii="Helv" w:hAnsi="Helv" w:cs="Helv"/>
                <w:lang w:eastAsia="en-AU"/>
              </w:rPr>
            </w:pPr>
            <w:r>
              <w:rPr>
                <w:rFonts w:eastAsia="ヒラギノ角ゴ Pro W3"/>
              </w:rPr>
              <w:t>Verify c</w:t>
            </w:r>
            <w:r w:rsidRPr="00EB36D4">
              <w:rPr>
                <w:rFonts w:eastAsia="ヒラギノ角ゴ Pro W3"/>
              </w:rPr>
              <w:t>ontainer lifting sets inspected, examined and tested, by an inspection body in accordance with applicable standards.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8268637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F7B723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397FC6" w14:textId="77777777" w:rsidR="00C82D5F" w:rsidRPr="00B31598" w:rsidRDefault="00C82D5F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188608CF" w:rsidR="00073B41" w:rsidRPr="005E4BC9" w:rsidRDefault="00C82D5F" w:rsidP="00073B41">
            <w:pPr>
              <w:pStyle w:val="OKTable"/>
            </w:pPr>
            <w:r w:rsidRPr="00995117">
              <w:rPr>
                <w:rFonts w:eastAsia="ヒラギノ角ゴ Pro W3"/>
              </w:rPr>
              <w:t>Conduct pre-lift load inspection. Do not lift unstable or unsecure loads without stabilising or securing them.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27EE6C7C" w:rsidR="00073B41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 w:rsidRPr="00995117">
              <w:rPr>
                <w:rFonts w:eastAsia="ヒラギノ角ゴ Pro W3"/>
              </w:rPr>
              <w:t xml:space="preserve">Check weight to be lifted against safe working limit of </w:t>
            </w:r>
            <w:r>
              <w:rPr>
                <w:rFonts w:eastAsia="ヒラギノ角ゴ Pro W3"/>
              </w:rPr>
              <w:t xml:space="preserve">container handling equipment </w:t>
            </w:r>
            <w:r w:rsidRPr="00995117">
              <w:rPr>
                <w:rFonts w:eastAsia="ヒラギノ角ゴ Pro W3"/>
              </w:rPr>
              <w:t>before lifting.</w:t>
            </w:r>
            <w:r>
              <w:t xml:space="preserve"> </w:t>
            </w:r>
            <w:r w:rsidRPr="0008031C">
              <w:rPr>
                <w:rFonts w:eastAsia="ヒラギノ角ゴ Pro W3"/>
              </w:rPr>
              <w:t>The container weight is checked to ensure it is within the specified maximum lifting capacity of the side lifter vehicle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673916" w:rsidRPr="00AE5E19" w14:paraId="52375BE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EFCA" w14:textId="7218D4DE" w:rsidR="00673916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 w:rsidRPr="00995117">
              <w:rPr>
                <w:rFonts w:eastAsia="ヒラギノ角ゴ Pro W3"/>
              </w:rPr>
              <w:t xml:space="preserve">Operate </w:t>
            </w:r>
            <w:r>
              <w:rPr>
                <w:rFonts w:eastAsia="ヒラギノ角ゴ Pro W3"/>
              </w:rPr>
              <w:t xml:space="preserve">container handling </w:t>
            </w:r>
            <w:r w:rsidRPr="00995117">
              <w:rPr>
                <w:rFonts w:eastAsia="ヒラギノ角ゴ Pro W3"/>
              </w:rPr>
              <w:t>equipment within limits of load rating chart including for any attachments.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4502E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8E4989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A80E3F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5142988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6AA8" w14:textId="47483B09" w:rsidR="00673916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Check l</w:t>
            </w:r>
            <w:r w:rsidRPr="0008031C">
              <w:rPr>
                <w:rFonts w:eastAsia="ヒラギノ角ゴ Pro W3"/>
              </w:rPr>
              <w:t>oad securing devices are unlocked or removed and lifting equipment is attached to the container, and adjusted if required, in accordance wi</w:t>
            </w:r>
            <w:r>
              <w:rPr>
                <w:rFonts w:eastAsia="ヒラギノ角ゴ Pro W3"/>
              </w:rPr>
              <w:t>th manufacturer’s specifications.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FC5CBC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E90D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88055C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0AEAB3C5" w14:textId="77777777" w:rsidTr="00C82D5F">
        <w:trPr>
          <w:trHeight w:val="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C20C" w14:textId="3A9DF52E" w:rsidR="00673916" w:rsidRPr="00A0501D" w:rsidRDefault="00C82D5F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Identify and implement e</w:t>
            </w:r>
            <w:r w:rsidRPr="0008031C">
              <w:rPr>
                <w:rFonts w:eastAsia="ヒラギノ角ゴ Pro W3"/>
              </w:rPr>
              <w:t>xclusion zones</w:t>
            </w:r>
            <w:r>
              <w:rPr>
                <w:rFonts w:eastAsia="ヒラギノ角ゴ Pro W3"/>
              </w:rPr>
              <w:t>. Establish e</w:t>
            </w:r>
            <w:r w:rsidRPr="008025FB">
              <w:rPr>
                <w:rFonts w:eastAsia="ヒラギノ角ゴ Pro W3"/>
              </w:rPr>
              <w:t>xclusion zones</w:t>
            </w:r>
            <w:r>
              <w:rPr>
                <w:rFonts w:eastAsia="ヒラギノ角ゴ Pro W3"/>
              </w:rPr>
              <w:t xml:space="preserve"> with</w:t>
            </w:r>
            <w:r w:rsidRPr="008025FB">
              <w:rPr>
                <w:rFonts w:eastAsia="ヒラギノ角ゴ Pro W3"/>
              </w:rPr>
              <w:t>, pedestrian no go zones</w:t>
            </w:r>
            <w:r>
              <w:rPr>
                <w:rFonts w:eastAsia="ヒラギノ角ゴ Pro W3"/>
              </w:rPr>
              <w:t xml:space="preserve"> around container handling operations.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219F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EB80EF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E26FE" w14:textId="77777777" w:rsidR="00673916" w:rsidRPr="00B31598" w:rsidRDefault="00673916" w:rsidP="00073B41">
            <w:pPr>
              <w:pStyle w:val="OKTable"/>
            </w:pPr>
          </w:p>
        </w:tc>
      </w:tr>
      <w:tr w:rsidR="00C82D5F" w:rsidRPr="00AE5E19" w14:paraId="129BC282" w14:textId="77777777" w:rsidTr="00C82D5F">
        <w:trPr>
          <w:trHeight w:val="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AB3DD" w14:textId="070D72C1" w:rsidR="00C82D5F" w:rsidRDefault="00C82D5F" w:rsidP="00073B41">
            <w:pPr>
              <w:pStyle w:val="OKTable"/>
              <w:rPr>
                <w:rFonts w:eastAsia="ヒラギノ角ゴ Pro W3"/>
              </w:rPr>
            </w:pPr>
            <w:r>
              <w:lastRenderedPageBreak/>
              <w:t>Conduct p</w:t>
            </w:r>
            <w:r w:rsidRPr="008A76FA">
              <w:t>re-operational checks on the side lifter, lifting assemblies, specialist lifting equipment, and ancillary equipment (if fitted) for serviceability and suitability for the task and readiness for operation</w:t>
            </w:r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72EBA5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C6E1EC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D5F16E" w14:textId="77777777" w:rsidR="00C82D5F" w:rsidRPr="00B31598" w:rsidRDefault="00C82D5F" w:rsidP="00073B41">
            <w:pPr>
              <w:pStyle w:val="OKTable"/>
            </w:pPr>
          </w:p>
        </w:tc>
      </w:tr>
      <w:tr w:rsidR="00C82D5F" w:rsidRPr="00AE5E19" w14:paraId="74D2B8EA" w14:textId="77777777" w:rsidTr="00C82D5F">
        <w:trPr>
          <w:trHeight w:val="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A80C" w14:textId="00EE36F2" w:rsidR="00C82D5F" w:rsidRDefault="00C82D5F" w:rsidP="00073B41">
            <w:pPr>
              <w:pStyle w:val="OKTable"/>
              <w:rPr>
                <w:rFonts w:eastAsia="ヒラギノ角ゴ Pro W3"/>
              </w:rPr>
            </w:pPr>
            <w:r>
              <w:t>Check g</w:t>
            </w:r>
            <w:r w:rsidRPr="008A76FA">
              <w:t>round conditions to ensure stability</w:t>
            </w:r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4829BD8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A16BE2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B4A2B4" w14:textId="77777777" w:rsidR="00C82D5F" w:rsidRPr="00B31598" w:rsidRDefault="00C82D5F" w:rsidP="00073B41">
            <w:pPr>
              <w:pStyle w:val="OKTable"/>
            </w:pPr>
          </w:p>
        </w:tc>
      </w:tr>
      <w:tr w:rsidR="00C82D5F" w:rsidRPr="00AE5E19" w14:paraId="40B0E67F" w14:textId="77777777" w:rsidTr="00C82D5F">
        <w:trPr>
          <w:trHeight w:val="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10E70" w14:textId="1424504F" w:rsidR="00C82D5F" w:rsidRDefault="00C82D5F" w:rsidP="00073B41">
            <w:pPr>
              <w:pStyle w:val="OKTable"/>
              <w:rPr>
                <w:rFonts w:eastAsia="ヒラギノ角ゴ Pro W3"/>
              </w:rPr>
            </w:pPr>
            <w:r w:rsidRPr="008A76FA">
              <w:t>Stop work if personnel enter exclusion zone under suspended load. The container handling equipment operator should not begin loading/unloading until everyone is clear of the exclusion zone.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B3A9D7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877E10" w14:textId="77777777" w:rsidR="00C82D5F" w:rsidRPr="00B31598" w:rsidRDefault="00C82D5F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FC074D" w14:textId="77777777" w:rsidR="00C82D5F" w:rsidRPr="00B31598" w:rsidRDefault="00C82D5F" w:rsidP="00073B41">
            <w:pPr>
              <w:pStyle w:val="OKTable"/>
            </w:pPr>
          </w:p>
        </w:tc>
      </w:tr>
    </w:tbl>
    <w:p w14:paraId="74A8877C" w14:textId="77777777" w:rsidR="005D13C7" w:rsidRDefault="005D13C7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FDF4C" w14:textId="77777777" w:rsidR="002C1EB4" w:rsidRDefault="002C1EB4" w:rsidP="006F2C09">
      <w:r>
        <w:separator/>
      </w:r>
    </w:p>
  </w:endnote>
  <w:endnote w:type="continuationSeparator" w:id="0">
    <w:p w14:paraId="2C0EABE7" w14:textId="77777777" w:rsidR="002C1EB4" w:rsidRDefault="002C1EB4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F6B2" w14:textId="77777777" w:rsidR="002C1EB4" w:rsidRDefault="002C1EB4" w:rsidP="006F2C09">
      <w:r>
        <w:separator/>
      </w:r>
    </w:p>
  </w:footnote>
  <w:footnote w:type="continuationSeparator" w:id="0">
    <w:p w14:paraId="750C4A41" w14:textId="77777777" w:rsidR="002C1EB4" w:rsidRDefault="002C1EB4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5AC8"/>
    <w:multiLevelType w:val="multilevel"/>
    <w:tmpl w:val="5562FB50"/>
    <w:numStyleLink w:val="ImportedStyle1"/>
  </w:abstractNum>
  <w:abstractNum w:abstractNumId="4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B40F8"/>
    <w:rsid w:val="001043BB"/>
    <w:rsid w:val="00111011"/>
    <w:rsid w:val="00137361"/>
    <w:rsid w:val="00172D90"/>
    <w:rsid w:val="0019355D"/>
    <w:rsid w:val="001C15EA"/>
    <w:rsid w:val="00252FF5"/>
    <w:rsid w:val="0029251C"/>
    <w:rsid w:val="002C1EB4"/>
    <w:rsid w:val="0031243F"/>
    <w:rsid w:val="0036472B"/>
    <w:rsid w:val="003727F9"/>
    <w:rsid w:val="003A7D2D"/>
    <w:rsid w:val="00416EBF"/>
    <w:rsid w:val="0041764C"/>
    <w:rsid w:val="00483F4B"/>
    <w:rsid w:val="004B3F46"/>
    <w:rsid w:val="005014A6"/>
    <w:rsid w:val="00522FA5"/>
    <w:rsid w:val="005607EF"/>
    <w:rsid w:val="00591B1B"/>
    <w:rsid w:val="005B3089"/>
    <w:rsid w:val="005D13C7"/>
    <w:rsid w:val="005D7BEF"/>
    <w:rsid w:val="005E4BC9"/>
    <w:rsid w:val="005E4CE3"/>
    <w:rsid w:val="0060152D"/>
    <w:rsid w:val="006343FA"/>
    <w:rsid w:val="0065094A"/>
    <w:rsid w:val="0065624A"/>
    <w:rsid w:val="00673916"/>
    <w:rsid w:val="006F2C09"/>
    <w:rsid w:val="00701D55"/>
    <w:rsid w:val="00732ADA"/>
    <w:rsid w:val="00780FB1"/>
    <w:rsid w:val="00796679"/>
    <w:rsid w:val="007B6CCD"/>
    <w:rsid w:val="00831C0E"/>
    <w:rsid w:val="00836FC2"/>
    <w:rsid w:val="008844F3"/>
    <w:rsid w:val="008E1872"/>
    <w:rsid w:val="00910188"/>
    <w:rsid w:val="0096160C"/>
    <w:rsid w:val="009A686E"/>
    <w:rsid w:val="009E4C32"/>
    <w:rsid w:val="00A04049"/>
    <w:rsid w:val="00AD0017"/>
    <w:rsid w:val="00B31598"/>
    <w:rsid w:val="00B33714"/>
    <w:rsid w:val="00BF6E4E"/>
    <w:rsid w:val="00C54628"/>
    <w:rsid w:val="00C76805"/>
    <w:rsid w:val="00C82BF9"/>
    <w:rsid w:val="00C82D5F"/>
    <w:rsid w:val="00C96586"/>
    <w:rsid w:val="00CB16CE"/>
    <w:rsid w:val="00CD4FB6"/>
    <w:rsid w:val="00D8181E"/>
    <w:rsid w:val="00D94014"/>
    <w:rsid w:val="00E068ED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A0B5-F406-4C1A-BE3F-00B6946AEA6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F63658-AD74-4D0D-9817-FEB001382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CFDB8-2962-49D1-89A5-98FC3D90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31C98-0F82-47EA-8644-F02C3C9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2020-04-14T02:52:00Z</dcterms:created>
  <dcterms:modified xsi:type="dcterms:W3CDTF">2020-04-14T02:52:00Z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